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pBdr>
          <w:left w:val="none" w:sz="0" w:space="0" w:color="auto"/>
          <w:right w:val="none" w:sz="0" w:space="0" w:color="auto"/>
          <w:top w:val="none" w:sz="0" w:space="0" w:color="auto"/>
          <w:bottom w:val="none" w:sz="0" w:space="0" w:color="auto"/>
          <w:between w:val="none" w:sz="0" w:space="0" w:color="auto"/>
        </w:pBdr>
        <w:ind w:hanging="15"/>
        <w:jc w:val="center"/>
        <w:rPr>
          <w:u w:val="single"/>
        </w:rPr>
      </w:pPr>
      <w:bookmarkStart w:id="0" w:name="_heading=h.gjdgxs" w:colFirst="0" w:colLast="0"/>
      <w:bookmarkEnd w:id="0"/>
      <w:r>
        <w:rPr>
          <w:rFonts w:ascii="Yellowtail" w:cs="Yellowtail" w:eastAsia="Yellowtail" w:hAnsi="Yellowtail"/>
          <w:color w:val="000000"/>
          <w:sz w:val="36"/>
          <w:szCs w:val="36"/>
        </w:rPr>
        <w:br/>
      </w:r>
      <w:r>
        <w:rPr>
          <w:u w:val="single"/>
        </w:rPr>
        <w:t>HOMOEOPATHY ARENA</w:t>
      </w:r>
    </w:p>
    <w:bookmarkStart w:id="1" w:name="_heading=h.30j0zll" w:colFirst="0" w:colLast="0"/>
    <w:bookmarkEnd w:id="1"/>
    <w:p>
      <w:pPr>
        <w:pStyle w:val="style74"/>
        <w:pBdr>
          <w:left w:val="none" w:sz="0" w:space="0" w:color="auto"/>
          <w:right w:val="none" w:sz="0" w:space="0" w:color="auto"/>
          <w:top w:val="none" w:sz="0" w:space="0" w:color="auto"/>
          <w:bottom w:val="none" w:sz="0" w:space="0" w:color="auto"/>
          <w:between w:val="none" w:sz="0" w:space="0" w:color="auto"/>
        </w:pBdr>
        <w:ind w:hanging="15"/>
        <w:jc w:val="center"/>
        <w:rPr>
          <w:rFonts w:ascii="Times New Roman" w:cs="Times New Roman" w:hAnsi="Times New Roman"/>
          <w:color w:val="d44415"/>
          <w:sz w:val="36"/>
          <w:szCs w:val="36"/>
        </w:rPr>
      </w:pPr>
      <w:r>
        <w:rPr>
          <w:rFonts w:ascii="Times New Roman" w:cs="Times New Roman" w:hAnsi="Times New Roman"/>
          <w:color w:val="d44415"/>
          <w:sz w:val="36"/>
          <w:szCs w:val="36"/>
          <w:lang w:val="en-US"/>
        </w:rPr>
        <w:t>SEPTEMBER</w:t>
      </w:r>
      <w:r>
        <w:rPr>
          <w:rFonts w:ascii="Times New Roman" w:cs="Times New Roman" w:hAnsi="Times New Roman"/>
          <w:color w:val="d44415"/>
          <w:sz w:val="36"/>
          <w:szCs w:val="36"/>
        </w:rPr>
        <w:t>- 2025</w:t>
      </w:r>
    </w:p>
    <w:bookmarkStart w:id="2" w:name="_heading=h.1fob9te" w:colFirst="0" w:colLast="0"/>
    <w:bookmarkEnd w:id="2"/>
    <w:p>
      <w:pPr>
        <w:pStyle w:val="style2"/>
        <w:jc w:val="center"/>
        <w:rPr>
          <w:rFonts w:ascii="Times New Roman" w:cs="Times New Roman" w:hAnsi="Times New Roman"/>
          <w:color w:val="auto"/>
          <w:u w:val="single"/>
        </w:rPr>
      </w:pPr>
      <w:r>
        <w:rPr>
          <w:rFonts w:ascii="Times New Roman" w:cs="Times New Roman" w:hAnsi="Times New Roman"/>
          <w:color w:val="auto"/>
          <w:u w:val="single"/>
        </w:rPr>
        <w:t xml:space="preserve">PCOD WITH HOMOEOPATHIC APPROACH </w:t>
      </w:r>
    </w:p>
    <w:bookmarkStart w:id="3" w:name="_heading=h.sah3gv6ouf3m" w:colFirst="0" w:colLast="0"/>
    <w:bookmarkEnd w:id="3"/>
    <w:p>
      <w:pPr>
        <w:pStyle w:val="style0"/>
        <w:spacing w:before="0" w:lineRule="auto" w:line="240"/>
        <w:rPr>
          <w:rFonts w:ascii="Times New Roman" w:cs="Times New Roman" w:hAnsi="Times New Roman"/>
          <w:b/>
          <w:color w:val="000000"/>
          <w:sz w:val="24"/>
          <w:szCs w:val="24"/>
        </w:rPr>
      </w:pPr>
    </w:p>
    <w:p>
      <w:pPr>
        <w:pStyle w:val="style0"/>
        <w:spacing w:before="0" w:lineRule="auto" w:line="24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Department of Gynaecology &amp;Obstetrics </w:t>
      </w:r>
    </w:p>
    <w:p>
      <w:pPr>
        <w:pStyle w:val="style0"/>
        <w:spacing w:before="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Dr.Ritu Sharma, HoD &amp; Associate Professor,</w:t>
      </w:r>
    </w:p>
    <w:p>
      <w:pPr>
        <w:pStyle w:val="style0"/>
        <w:spacing w:before="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Dr. Hemlata  Baswal, Assistant professor </w:t>
      </w:r>
    </w:p>
    <w:p>
      <w:pPr>
        <w:pStyle w:val="style0"/>
        <w:spacing w:before="0" w:lineRule="auto" w:line="240"/>
        <w:rPr>
          <w:rFonts w:ascii="Times New Roman" w:cs="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INTRODUCTION</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Polycystic Ovarian Syndrome otherwise called PCOS OR PCOD [Polycystic Ovarian Disorder] is a typical hormonal issue and a main source of female infertility around the world. PCOS is additionally called as Stein-Leventhal Syndrome after two specialists who originally depicted it in 1935.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Polycystic Ovarian Syndrome (PCOS) is a complex metabolic, endocrine, reproductive and psychosocial disorder that impacts quality of life of a female patient. This syndrome has a major impact on the psychosocial health of a woman as it impairs feminity due to menstrual abnormalities, infertility, obesity, hirsutism, hair loss, and facial acne. Approximately 5-10% of the female population in developed countries is aff ected, while the prevalence in India is 9.13%.</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Rotterdam 2003 criteria characterizes PCOS as frequency of any two of 3 key criteria in particular, oligoovulation and anovulation, hyperandrogenism and polycystic ovaries [PCO].</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Poly cystic Ovarian Syndrome (PCOS) is a condition wherein females ordinarily have many number of little cysts around the edge of their ovaries. Polycystic ovaries mean the ovaries containing countless blisters that are not greater than 8mm and grow a larger number of follicles consistently than ordinary ovaries. The growths are the egg containing follicles that don't grow appropriately as a result of hormone imbalance.</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Common Age of Onset</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Common age of onset is adolescence.</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Common time of diagnosis: 2nd to 4th decade of life.</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Some symptoms may appear starting at menarche or post menopause.</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Aetiopathogenesis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There are multiple underlying pathophysiological mechanisms due to the heterogeneity of this disorder. Several theories have been proposed to explain the pathogenesis of PCOS.</w:t>
      </w:r>
    </w:p>
    <w:p>
      <w:pPr>
        <w:pStyle w:val="style179"/>
        <w:numPr>
          <w:ilvl w:val="0"/>
          <w:numId w:val="1"/>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An alteration in gonadotropinreleasing hormone secretion results in increased luteinizing hormone (LH) secretion. </w:t>
      </w:r>
    </w:p>
    <w:p>
      <w:pPr>
        <w:pStyle w:val="style179"/>
        <w:numPr>
          <w:ilvl w:val="0"/>
          <w:numId w:val="1"/>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An alteration in insulin secretion and insulin action results in hyperinsulinemia and insulin resistance. </w:t>
      </w:r>
    </w:p>
    <w:p>
      <w:pPr>
        <w:pStyle w:val="style179"/>
        <w:numPr>
          <w:ilvl w:val="0"/>
          <w:numId w:val="1"/>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defect in androgen synthesis that results in increased ovarian androgen production.</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Genetic and environmental contributors along with other factors, including obesity complicate the pathogenic cycle. Insulin resistance contributes not only to metabolic features but also to reproductive features through augmenting androgen production and increasing free androgens by reducing Sex Hormone Binding Globulin (SHBG). Obesity increases hyperandrogenism, hirsutism, and infertility and pregnancy complications both independently and by exacerbating PCOS.</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Clinical symptoms</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Oligomenorrhoea, amenorrhea, abnormal uterine bleeding (All types of menstrual</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Irregularities are more common in obese patients than in lean patients), normal menstrual pattern Infertility</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Obesity</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Hirsutism</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Acne</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Virilisation</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Polycystic Ovary in ultrasonography</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Other clinical features include:  Decreased breast size</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Decreased sexual desire</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Achordonosis (skin tags) – tiny flaps of skin seen on eyelids, neck, armpits and groins•</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High blood pressure</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Mood swings</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Depression and anxiety</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Acanthosis nigricans</w:t>
      </w:r>
    </w:p>
    <w:p>
      <w:pPr>
        <w:pStyle w:val="style179"/>
        <w:numPr>
          <w:ilvl w:val="0"/>
          <w:numId w:val="2"/>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Male pattern alopecia.</w:t>
      </w:r>
    </w:p>
    <w:p>
      <w:pPr>
        <w:pStyle w:val="style179"/>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Investigation</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 General examination includes blood pressure recording, palpation of the breasts, weight and hirsutism.</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Blood sugar, lipid profile, ECG</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Mammography, pelvic ultrasound</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Pelvic examination such as pap smear</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Vaginal cytology </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Endometrial biopsy </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Serum estradiol </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Assessment of Anti-Müllerian hormone (AMH) and Müllerian-inhibiting substance (MIS),.</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Bone density study. DEXA is a quick test with less radiation</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Hysteroscopy </w:t>
      </w:r>
    </w:p>
    <w:p>
      <w:pPr>
        <w:pStyle w:val="style179"/>
        <w:numPr>
          <w:ilvl w:val="0"/>
          <w:numId w:val="3"/>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 xml:space="preserve"> The European Menopause and Andropause Society (EMAS)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ind w:left="360"/>
        <w:jc w:val="both"/>
        <w:rPr>
          <w:rFonts w:ascii="Times New Roman" w:cs="Times New Roman" w:eastAsia="Times New Roman" w:hAnsi="Times New Roman"/>
          <w:b/>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ind w:left="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Differential diagnosis</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Pregnancy </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Hypothyroidism </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Hyperprolactinemia</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Late-onset congenital adrenal hyperplasia </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Ovarian tumor </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Adrenal tumor</w:t>
      </w:r>
    </w:p>
    <w:p>
      <w:pPr>
        <w:pStyle w:val="style179"/>
        <w:numPr>
          <w:ilvl w:val="0"/>
          <w:numId w:val="4"/>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Cushing’s syndrome </w:t>
      </w:r>
    </w:p>
    <w:p>
      <w:pPr>
        <w:pStyle w:val="style179"/>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Homoeopathic Approach in PCOS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the past, polycystic ovary syndrome has been looked at primarily as an endocrine disorder. Studies now show that polycystic ovary syndrome is a metabolic, hormonal, and psychosocial disorder that impacts a patient’s quality of life. Studies have shown that depression and anxiety are common in patients with PCOS as compared with healthy women due to obesity and metabolic abnormalities. Homeopathy approaches such cases with a holistic view point. Homeopathic approach towards management of PCOS is constitutional, taking into account the patient’s physical symptoms along with their mental and genetic make-up that individualizes the person. In the foot note of aphorism 94 of Organon of medicine, Dr Samuel Hahnemann mentions in detail the points to be noted in case taking of chronic diseases of females.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Homoepathic Theraputics</w:t>
      </w: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Apis mellifica</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medicine is indicated in amenorrhea or menorrhagia of females. There is an inflammation, induration, swelling, and dropsy of the ovaries (right). Weight and pain in either ovarian region, predominantly right side. The ovaries feel better by lying on right side. Enlargement of the right ovary with pain which is sharp, cutting, stinging worse during menstruation. Ovarian tumours, with stinging pains like bee-stings. Sudden; shrill cries or pains that extort cries. Ovaries numb with cystic tumor. Menses suppressed, with cerebral and head symptoms, especially in young girls.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Natrum muriaticum</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Suitable to patients having shining face, as if greasy. Itching and eruption of pimples on face and forehead. Affects hair follicles. Alopecia. Difficulty in appearance of first menses. Menses premature and profuse; or retarded and scanty. Headache before, during, and after Menses. Before menses, moroseness and irritability. At commencement of menses, sadness. During menses, cramps in abdomen.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Pulsatilla nigricans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Remedy is suited in affections in general of the female genital organs; of the uterus. Catamenia irregular, tardy, or premature, of too short or too long duration, or entirely suppressed (esp. if produced by getting the feet wet), with colic, hysterical spasms in abdomen. Delay of first menses in mild, gentle girls, low-spirited, diarrhea during menses. Suppression of menses (esp. in elderly women in whom they usually occur at full moon).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Calcarea carbonica</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In Calcarea carbonica patient, there is headache, colic, chilliness and leucorrhoea before menses. Cutting pains in uterus during menstruation. Menses too early, too profuse, too long, with vertigo, toothache and cold, damp feet; the least excitement causes their return. Burning and itching of parts.</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Sulphur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Sulphur patient is stooped, lank, uncured, untidy and unwashed. Suffers from menses too late; too short. Delay of first menses. Amenorrhœa, dreadful depression and apprehension, head feels full and heavy, followed by violent headache, numbness of arms and legs, cramp and sick feeling at during menstrual period. Menstrual blood thick, acrid, corroding thighs; scanty, dark; dark, putrid, clotted.</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Ignatia amara</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Ignatia is especially adapted to the nervous temperamentwomen of sensitive, easily excited nature, dark, mild disposition, quick to perceive, rapid in execution. Menstrual flow is black, too early, too profuse, or scanty. During menses great languor, with spasmodic pains in stomach and abdomen. Feminine sexual frigidity. Suppression from grief.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Sepia officinalis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Sepia patient is usually having saddle-like brownish distribution on nose and cheeks. Sepia acts best on brunettes. Menses too late and scanty, irregular; early and profuse; sharp clutching pains. Violent stitches upward in the vagina, from uterus to umbilicus. The ovaries remain enlarged with fluid-filled cysts in them. Sepia acts very efficiently to regulate the menstrual cycle to appear at the proper expected time. Sepia can also be considered to treat infertility cases due to PCOS.</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p>
    <w:p>
      <w:pPr>
        <w:pStyle w:val="style179"/>
        <w:numPr>
          <w:ilvl w:val="0"/>
          <w:numId w:val="5"/>
        </w:numPr>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Graphites</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One of the best Homeopathic medicines for PCOS with constipation. When there is constipation along with other symptoms, Graphites is one of the best Homeopathic medicines for PCOS. The patient is often of a stout build or is fat. She cannot tolerate cold and is always feeling chilly. The menses are too late and are pale and scanty. There is tearing pain in the </w:t>
      </w: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000000"/>
          <w:sz w:val="24"/>
          <w:szCs w:val="24"/>
        </w:rPr>
        <w:sectPr>
          <w:headerReference w:type="default" r:id="rId2"/>
          <w:footerReference w:type="default" r:id="rId3"/>
          <w:headerReference w:type="first" r:id="rId4"/>
          <w:footerReference w:type="first" r:id="rId5"/>
          <w:pgSz w:w="12240" w:h="15840" w:orient="portrait"/>
          <w:pgMar w:top="1008" w:right="1440" w:bottom="1008" w:left="1440" w:header="0" w:footer="720" w:gutter="0"/>
          <w:pgNumType w:start="1"/>
          <w:cols w:space="720" w:num="1"/>
          <w:titlePg/>
        </w:sectPr>
      </w:pPr>
    </w:p>
    <w:p>
      <w:pPr>
        <w:pStyle w:val="style0"/>
        <w:keepNext w:val="false"/>
        <w:keepLines w:val="false"/>
        <w:widowControl/>
        <w:suppressLineNumbers w:val="false"/>
        <w:spacing w:before="0" w:beforeAutospacing="true" w:after="0" w:afterAutospacing="true" w:lineRule="auto" w:line="240"/>
        <w:ind w:left="0" w:right="0"/>
        <w:jc w:val="center"/>
        <w:outlineLvl w:val="0"/>
        <w:rPr>
          <w:rFonts w:ascii="Times New Roman" w:cs="Times New Roman" w:eastAsia="Times New Roman" w:hAnsi="Times New Roman" w:hint="default"/>
          <w:b/>
          <w:bCs/>
          <w:color w:val="auto"/>
          <w:kern w:val="36"/>
          <w:sz w:val="28"/>
          <w:szCs w:val="28"/>
          <w:u w:val="single"/>
          <w:lang w:val="en-US" w:eastAsia="zh-CN"/>
        </w:rPr>
      </w:pPr>
      <w:r>
        <w:rPr>
          <w:rFonts w:ascii="Times New Roman" w:cs="Times New Roman" w:eastAsia="Times New Roman" w:hAnsi="Times New Roman" w:hint="default"/>
          <w:b/>
          <w:bCs/>
          <w:color w:val="auto"/>
          <w:kern w:val="36"/>
          <w:sz w:val="28"/>
          <w:szCs w:val="28"/>
          <w:u w:val="single"/>
          <w:lang w:val="en-US" w:eastAsia="zh-CN"/>
        </w:rPr>
        <w:t xml:space="preserve">CURRENT ADVANCES IN SURGERY RELEVANT TO </w:t>
      </w:r>
      <w:bookmarkStart w:id="4" w:name="_GoBack"/>
      <w:bookmarkEnd w:id="4"/>
      <w:r>
        <w:rPr>
          <w:rFonts w:ascii="Times New Roman" w:cs="Times New Roman" w:eastAsia="Times New Roman" w:hAnsi="Times New Roman" w:hint="default"/>
          <w:b/>
          <w:bCs/>
          <w:color w:val="auto"/>
          <w:kern w:val="36"/>
          <w:sz w:val="28"/>
          <w:szCs w:val="28"/>
          <w:u w:val="single"/>
          <w:lang w:val="en-US" w:eastAsia="zh-CN"/>
        </w:rPr>
        <w:t>HOMOEOPATHIC PRACTITIONERS</w:t>
      </w:r>
    </w:p>
    <w:p>
      <w:pPr>
        <w:pStyle w:val="style0"/>
        <w:spacing w:before="0" w:lineRule="auto" w:line="240"/>
        <w:rPr>
          <w:rFonts w:ascii="Times New Roman" w:cs="Times New Roman" w:hAnsi="Times New Roman" w:hint="default"/>
          <w:b/>
          <w:color w:val="auto"/>
          <w:sz w:val="24"/>
          <w:szCs w:val="24"/>
          <w:lang w:val="en-US"/>
        </w:rPr>
      </w:pPr>
      <w:r>
        <w:rPr>
          <w:rFonts w:ascii="Times New Roman" w:cs="Times New Roman" w:hAnsi="Times New Roman"/>
          <w:b/>
          <w:color w:val="auto"/>
          <w:sz w:val="24"/>
          <w:szCs w:val="24"/>
        </w:rPr>
        <w:t>Department of</w:t>
      </w:r>
      <w:r>
        <w:rPr>
          <w:rFonts w:ascii="Times New Roman" w:cs="Times New Roman" w:hAnsi="Times New Roman" w:hint="default"/>
          <w:b/>
          <w:color w:val="auto"/>
          <w:sz w:val="24"/>
          <w:szCs w:val="24"/>
          <w:lang w:val="en-US"/>
        </w:rPr>
        <w:t xml:space="preserve"> Surgery</w:t>
      </w:r>
    </w:p>
    <w:p>
      <w:pPr>
        <w:pStyle w:val="style0"/>
        <w:spacing w:before="0" w:lineRule="auto" w:line="240"/>
        <w:rPr>
          <w:rFonts w:ascii="Times New Roman" w:cs="Times New Roman" w:hAnsi="Times New Roman"/>
          <w:color w:val="auto"/>
          <w:sz w:val="24"/>
          <w:szCs w:val="24"/>
        </w:rPr>
      </w:pPr>
      <w:r>
        <w:rPr>
          <w:rFonts w:ascii="Times New Roman" w:cs="Times New Roman" w:hAnsi="Times New Roman"/>
          <w:color w:val="auto"/>
          <w:sz w:val="24"/>
          <w:szCs w:val="24"/>
        </w:rPr>
        <w:t>Dr.</w:t>
      </w:r>
      <w:r>
        <w:rPr>
          <w:rFonts w:ascii="Times New Roman" w:cs="Times New Roman" w:hAnsi="Times New Roman" w:hint="default"/>
          <w:color w:val="auto"/>
          <w:sz w:val="24"/>
          <w:szCs w:val="24"/>
          <w:lang w:val="en-US"/>
        </w:rPr>
        <w:t>Jairam Choudhary</w:t>
      </w:r>
      <w:r>
        <w:rPr>
          <w:rFonts w:ascii="Times New Roman" w:cs="Times New Roman" w:hAnsi="Times New Roman"/>
          <w:color w:val="auto"/>
          <w:sz w:val="24"/>
          <w:szCs w:val="24"/>
        </w:rPr>
        <w:t>, HoD</w:t>
      </w:r>
    </w:p>
    <w:p>
      <w:pPr>
        <w:pStyle w:val="style0"/>
        <w:spacing w:before="0" w:lineRule="auto" w:line="240"/>
        <w:rPr>
          <w:rFonts w:ascii="Times New Roman" w:cs="Times New Roman" w:eastAsia="Times New Roman" w:hAnsi="Times New Roman" w:hint="default"/>
          <w:b/>
          <w:bCs/>
          <w:color w:val="auto"/>
          <w:kern w:val="36"/>
          <w:sz w:val="28"/>
          <w:szCs w:val="28"/>
          <w:lang w:val="en-US" w:eastAsia="zh-CN"/>
        </w:rPr>
      </w:pPr>
      <w:r>
        <w:rPr>
          <w:rFonts w:ascii="Times New Roman" w:cs="Times New Roman" w:hAnsi="Times New Roman"/>
          <w:color w:val="auto"/>
          <w:sz w:val="24"/>
          <w:szCs w:val="24"/>
        </w:rPr>
        <w:t>Dr.</w:t>
      </w:r>
      <w:r>
        <w:rPr>
          <w:rFonts w:ascii="Times New Roman" w:cs="Times New Roman" w:hAnsi="Times New Roman" w:hint="default"/>
          <w:color w:val="auto"/>
          <w:sz w:val="24"/>
          <w:szCs w:val="24"/>
          <w:lang w:val="en-US"/>
        </w:rPr>
        <w:t>Pavitra Gaur</w:t>
      </w:r>
      <w:r>
        <w:rPr>
          <w:rFonts w:ascii="Times New Roman" w:cs="Times New Roman" w:hAnsi="Times New Roman"/>
          <w:color w:val="auto"/>
          <w:sz w:val="24"/>
          <w:szCs w:val="24"/>
        </w:rPr>
        <w:t xml:space="preserve">, Assistant professor </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8"/>
          <w:szCs w:val="28"/>
          <w:lang w:val="en-US"/>
        </w:rPr>
      </w:pPr>
      <w:r>
        <w:rPr>
          <w:rFonts w:ascii="Times New Roman" w:cs="Times New Roman" w:eastAsia="Times New Roman" w:hAnsi="Times New Roman" w:hint="default"/>
          <w:b/>
          <w:bCs/>
          <w:color w:val="auto"/>
          <w:kern w:val="0"/>
          <w:sz w:val="28"/>
          <w:szCs w:val="28"/>
          <w:lang w:val="en-US" w:eastAsia="zh-CN"/>
        </w:rPr>
        <w:t>INTRODUCTION:</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The field of surgery is rapidly evolving with technological advancements and deeper biological understanding. While homoeopathy primarily aims for holistic and non-invasive care, modern surgical knowledge is indispensable for any well-rounded medical practitioner. With many surgical conditions presenting first in outpatient settings—including those managed by homoeopathic physicians—it becomes crucial for homoeopathic practitioners to remain updated on current advances in surgery. This not only enhances interdisciplinary communication and referral accuracy but also improves patient safety and clinical outcomes.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This article explores key surgical innovations and their practical relevance to homoeopathic practitioners.</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I. IMPORTANCE OF SURGICAL AWARENESS IN HOMOEOPATHIC PRACTICE:</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Homoeopathy is often the first point of contact for patients with chronic or functional complaints. However, some of these conditions may have an underlying surgical pathology that warrants prompt referral or co-management. Conditions like hernias, appendicitis, gallstones, hemorrhoids, tumors, or even surgical emergencies such as ectopic pregnancy or acute abdomen may initially present with non-specific symptoms.</w:t>
      </w:r>
    </w:p>
    <w:p>
      <w:pPr>
        <w:pStyle w:val="style0"/>
        <w:keepNext w:val="false"/>
        <w:keepLines w:val="false"/>
        <w:widowControl/>
        <w:suppressLineNumbers w:val="false"/>
        <w:spacing w:before="0" w:beforeAutospacing="true" w:after="0" w:afterAutospacing="true" w:lineRule="auto" w:line="240"/>
        <w:ind w:left="27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Thus, awareness of:</w:t>
      </w:r>
    </w:p>
    <w:p>
      <w:pPr>
        <w:pStyle w:val="style0"/>
        <w:keepNext w:val="false"/>
        <w:keepLines w:val="false"/>
        <w:widowControl/>
        <w:numPr>
          <w:ilvl w:val="0"/>
          <w:numId w:val="6"/>
        </w:numPr>
        <w:suppressLineNumbers w:val="false"/>
        <w:spacing w:before="0" w:beforeAutospacing="true" w:after="0" w:afterAutospacing="true" w:lineRule="auto" w:line="240"/>
        <w:ind w:left="27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Surgical red flags</w:t>
      </w:r>
    </w:p>
    <w:p>
      <w:pPr>
        <w:pStyle w:val="style0"/>
        <w:keepNext w:val="false"/>
        <w:keepLines w:val="false"/>
        <w:widowControl/>
        <w:numPr>
          <w:ilvl w:val="0"/>
          <w:numId w:val="6"/>
        </w:numPr>
        <w:suppressLineNumbers w:val="false"/>
        <w:spacing w:before="0" w:beforeAutospacing="true" w:after="0" w:afterAutospacing="true" w:lineRule="auto" w:line="240"/>
        <w:ind w:left="27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Diagnostic approaches</w:t>
      </w:r>
    </w:p>
    <w:p>
      <w:pPr>
        <w:pStyle w:val="style0"/>
        <w:keepNext w:val="false"/>
        <w:keepLines w:val="false"/>
        <w:widowControl/>
        <w:numPr>
          <w:ilvl w:val="0"/>
          <w:numId w:val="6"/>
        </w:numPr>
        <w:suppressLineNumbers w:val="false"/>
        <w:spacing w:before="0" w:beforeAutospacing="true" w:after="0" w:afterAutospacing="true" w:lineRule="auto" w:line="240"/>
        <w:ind w:left="27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Referral timing</w:t>
      </w:r>
      <w:r>
        <w:rPr>
          <w:rFonts w:ascii="Times New Roman" w:cs="Times New Roman" w:eastAsia="Times New Roman" w:hAnsi="Times New Roman" w:hint="default"/>
          <w:color w:val="auto"/>
          <w:kern w:val="0"/>
          <w:sz w:val="24"/>
          <w:szCs w:val="24"/>
          <w:lang w:val="en-US" w:eastAsia="zh-CN"/>
        </w:rPr>
        <w:t xml:space="preserve"> </w:t>
      </w:r>
      <w:r>
        <w:rPr>
          <w:rFonts w:ascii="Times New Roman" w:cs="Times New Roman" w:eastAsia="Times New Roman" w:hAnsi="Times New Roman" w:hint="default"/>
          <w:b/>
          <w:bCs w:val="false"/>
          <w:color w:val="auto"/>
          <w:kern w:val="0"/>
          <w:sz w:val="24"/>
          <w:szCs w:val="24"/>
          <w:lang w:val="en-US" w:eastAsia="zh-CN"/>
        </w:rPr>
        <w:t>is critical</w:t>
      </w:r>
      <w:r>
        <w:rPr>
          <w:rFonts w:ascii="Times New Roman" w:cs="Times New Roman" w:eastAsia="Times New Roman" w:hAnsi="Times New Roman" w:hint="default"/>
          <w:color w:val="auto"/>
          <w:kern w:val="0"/>
          <w:sz w:val="24"/>
          <w:szCs w:val="24"/>
          <w:lang w:val="en-US" w:eastAsia="zh-CN"/>
        </w:rPr>
        <w:t>.</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 xml:space="preserve">Moreover, homoeopathy has a rich tradition of offering </w:t>
      </w:r>
      <w:r>
        <w:rPr>
          <w:rFonts w:ascii="Times New Roman" w:cs="Times New Roman" w:eastAsia="Times New Roman" w:hAnsi="Times New Roman" w:hint="default"/>
          <w:b/>
          <w:bCs/>
          <w:color w:val="auto"/>
          <w:kern w:val="0"/>
          <w:sz w:val="24"/>
          <w:szCs w:val="24"/>
          <w:lang w:val="en-US" w:eastAsia="zh-CN"/>
        </w:rPr>
        <w:t>pre-operative</w:t>
      </w:r>
      <w:r>
        <w:rPr>
          <w:rFonts w:ascii="Times New Roman" w:cs="Times New Roman" w:eastAsia="Times New Roman" w:hAnsi="Times New Roman" w:hint="default"/>
          <w:color w:val="auto"/>
          <w:kern w:val="0"/>
          <w:sz w:val="24"/>
          <w:szCs w:val="24"/>
          <w:lang w:val="en-US" w:eastAsia="zh-CN"/>
        </w:rPr>
        <w:t xml:space="preserve">, </w:t>
      </w:r>
      <w:r>
        <w:rPr>
          <w:rFonts w:ascii="Times New Roman" w:cs="Times New Roman" w:eastAsia="Times New Roman" w:hAnsi="Times New Roman" w:hint="default"/>
          <w:b/>
          <w:bCs/>
          <w:color w:val="auto"/>
          <w:kern w:val="0"/>
          <w:sz w:val="24"/>
          <w:szCs w:val="24"/>
          <w:lang w:val="en-US" w:eastAsia="zh-CN"/>
        </w:rPr>
        <w:t>post-operative</w:t>
      </w:r>
      <w:r>
        <w:rPr>
          <w:rFonts w:ascii="Times New Roman" w:cs="Times New Roman" w:eastAsia="Times New Roman" w:hAnsi="Times New Roman" w:hint="default"/>
          <w:color w:val="auto"/>
          <w:kern w:val="0"/>
          <w:sz w:val="24"/>
          <w:szCs w:val="24"/>
          <w:lang w:val="en-US" w:eastAsia="zh-CN"/>
        </w:rPr>
        <w:t xml:space="preserve">, and </w:t>
      </w:r>
      <w:r>
        <w:rPr>
          <w:rFonts w:ascii="Times New Roman" w:cs="Times New Roman" w:eastAsia="Times New Roman" w:hAnsi="Times New Roman" w:hint="default"/>
          <w:b/>
          <w:bCs/>
          <w:color w:val="auto"/>
          <w:kern w:val="0"/>
          <w:sz w:val="24"/>
          <w:szCs w:val="24"/>
          <w:lang w:val="en-US" w:eastAsia="zh-CN"/>
        </w:rPr>
        <w:t>adjunctive</w:t>
      </w:r>
      <w:r>
        <w:rPr>
          <w:rFonts w:ascii="Times New Roman" w:cs="Times New Roman" w:eastAsia="Times New Roman" w:hAnsi="Times New Roman" w:hint="default"/>
          <w:color w:val="auto"/>
          <w:kern w:val="0"/>
          <w:sz w:val="24"/>
          <w:szCs w:val="24"/>
          <w:lang w:val="en-US" w:eastAsia="zh-CN"/>
        </w:rPr>
        <w:t xml:space="preserve"> care in various surgical conditions. Hence, understanding the latest trends in surgery only strengthens the collaborative and integrative approach to patient care.</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II. MAJOR ADVANCES IN SURGERY RELEVANT TO HOMOEOPATHIC PRACTITIONERS:</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1. Minimally Invasive Surgery (MIS)</w:t>
      </w:r>
    </w:p>
    <w:p>
      <w:pPr>
        <w:pStyle w:val="style0"/>
        <w:keepNext w:val="false"/>
        <w:keepLines w:val="false"/>
        <w:widowControl/>
        <w:suppressLineNumbers w:val="false"/>
        <w:spacing w:before="0" w:beforeAutospacing="true" w:after="0" w:afterAutospacing="true" w:lineRule="auto" w:line="240"/>
        <w:ind w:left="0" w:right="0"/>
        <w:jc w:val="both"/>
        <w:outlineLvl w:val="3"/>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a. Laparoscopic Surgery</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Laparoscopy has become the gold standard for many surgeries—cholecystectomy, appendectomy, hernia repair, gynecological procedures, etc.</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Relevance to Homoeopaths:</w:t>
      </w:r>
    </w:p>
    <w:p>
      <w:pPr>
        <w:pStyle w:val="style0"/>
        <w:keepNext w:val="false"/>
        <w:keepLines w:val="false"/>
        <w:widowControl/>
        <w:numPr>
          <w:ilvl w:val="0"/>
          <w:numId w:val="7"/>
        </w:numPr>
        <w:suppressLineNumbers w:val="false"/>
        <w:tabs>
          <w:tab w:val="left" w:leader="none" w:pos="270"/>
          <w:tab w:val="left" w:leader="none" w:pos="360"/>
        </w:tabs>
        <w:spacing w:before="0" w:beforeAutospacing="true" w:after="0" w:afterAutospacing="true" w:lineRule="auto" w:line="240"/>
        <w:ind w:left="27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 xml:space="preserve">Patients post-laparoscopy benefit greatly from remedies like </w:t>
      </w:r>
      <w:r>
        <w:rPr>
          <w:rFonts w:ascii="Times New Roman" w:cs="Times New Roman" w:eastAsia="Times New Roman" w:hAnsi="Times New Roman" w:hint="default"/>
          <w:i/>
          <w:iCs/>
          <w:color w:val="auto"/>
          <w:kern w:val="0"/>
          <w:sz w:val="24"/>
          <w:szCs w:val="24"/>
          <w:lang w:val="en-US" w:eastAsia="zh-CN"/>
        </w:rPr>
        <w:t>Arnica</w:t>
      </w:r>
      <w:r>
        <w:rPr>
          <w:rFonts w:ascii="Times New Roman" w:cs="Times New Roman" w:eastAsia="Times New Roman" w:hAnsi="Times New Roman" w:hint="default"/>
          <w:color w:val="auto"/>
          <w:kern w:val="0"/>
          <w:sz w:val="24"/>
          <w:szCs w:val="24"/>
          <w:lang w:val="en-US" w:eastAsia="zh-CN"/>
        </w:rPr>
        <w:t xml:space="preserve"> (post-op bruising), </w:t>
      </w:r>
      <w:r>
        <w:rPr>
          <w:rFonts w:ascii="Times New Roman" w:cs="Times New Roman" w:eastAsia="Times New Roman" w:hAnsi="Times New Roman" w:hint="default"/>
          <w:i/>
          <w:iCs/>
          <w:color w:val="auto"/>
          <w:kern w:val="0"/>
          <w:sz w:val="24"/>
          <w:szCs w:val="24"/>
          <w:lang w:val="en-US" w:eastAsia="zh-CN"/>
        </w:rPr>
        <w:t>Calendula</w:t>
      </w:r>
      <w:r>
        <w:rPr>
          <w:rFonts w:ascii="Times New Roman" w:cs="Times New Roman" w:eastAsia="Times New Roman" w:hAnsi="Times New Roman" w:hint="default"/>
          <w:color w:val="auto"/>
          <w:kern w:val="0"/>
          <w:sz w:val="24"/>
          <w:szCs w:val="24"/>
          <w:lang w:val="en-US" w:eastAsia="zh-CN"/>
        </w:rPr>
        <w:t xml:space="preserve"> (wound healing), or </w:t>
      </w:r>
      <w:r>
        <w:rPr>
          <w:rFonts w:ascii="Times New Roman" w:cs="Times New Roman" w:eastAsia="Times New Roman" w:hAnsi="Times New Roman" w:hint="default"/>
          <w:i/>
          <w:iCs/>
          <w:color w:val="auto"/>
          <w:kern w:val="0"/>
          <w:sz w:val="24"/>
          <w:szCs w:val="24"/>
          <w:lang w:val="en-US" w:eastAsia="zh-CN"/>
        </w:rPr>
        <w:t>Staphysagria</w:t>
      </w:r>
      <w:r>
        <w:rPr>
          <w:rFonts w:ascii="Times New Roman" w:cs="Times New Roman" w:eastAsia="Times New Roman" w:hAnsi="Times New Roman" w:hint="default"/>
          <w:color w:val="auto"/>
          <w:kern w:val="0"/>
          <w:sz w:val="24"/>
          <w:szCs w:val="24"/>
          <w:lang w:val="en-US" w:eastAsia="zh-CN"/>
        </w:rPr>
        <w:t xml:space="preserve"> (post-surgical incision).</w:t>
      </w:r>
    </w:p>
    <w:p>
      <w:pPr>
        <w:pStyle w:val="style0"/>
        <w:keepNext w:val="false"/>
        <w:keepLines w:val="false"/>
        <w:widowControl/>
        <w:numPr>
          <w:ilvl w:val="0"/>
          <w:numId w:val="7"/>
        </w:numPr>
        <w:suppressLineNumbers w:val="false"/>
        <w:tabs>
          <w:tab w:val="left" w:leader="none" w:pos="270"/>
          <w:tab w:val="left" w:leader="none" w:pos="360"/>
        </w:tabs>
        <w:spacing w:before="0" w:beforeAutospacing="true" w:after="0" w:afterAutospacing="true" w:lineRule="auto" w:line="240"/>
        <w:ind w:left="27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Laparoscopic approach reduces complications, thus making early ambulation and post-op homoeopathic support more effective.</w:t>
      </w:r>
    </w:p>
    <w:p>
      <w:pPr>
        <w:pStyle w:val="style0"/>
        <w:keepNext w:val="false"/>
        <w:keepLines w:val="false"/>
        <w:widowControl/>
        <w:suppressLineNumbers w:val="false"/>
        <w:spacing w:before="0" w:beforeAutospacing="true" w:after="0" w:afterAutospacing="true" w:lineRule="auto" w:line="240"/>
        <w:ind w:left="0" w:right="0"/>
        <w:jc w:val="both"/>
        <w:outlineLvl w:val="3"/>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b. Robotic Surgery</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Robotic-assisted surgeries are now used in urology, gynecology, and colorectal surgery, offering high precision and faster recovery.</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Homoeopathic Contribution:</w:t>
      </w:r>
    </w:p>
    <w:p>
      <w:pPr>
        <w:pStyle w:val="style0"/>
        <w:keepNext w:val="false"/>
        <w:keepLines w:val="false"/>
        <w:widowControl/>
        <w:numPr>
          <w:ilvl w:val="0"/>
          <w:numId w:val="8"/>
        </w:numPr>
        <w:suppressLineNumbers w:val="false"/>
        <w:tabs>
          <w:tab w:val="left" w:leader="none" w:pos="90"/>
        </w:tabs>
        <w:spacing w:before="0" w:beforeAutospacing="true" w:after="0" w:afterAutospacing="true" w:lineRule="auto" w:line="240"/>
        <w:ind w:left="90" w:right="0" w:hanging="270"/>
        <w:jc w:val="both"/>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color w:val="auto"/>
          <w:kern w:val="0"/>
          <w:sz w:val="24"/>
          <w:szCs w:val="24"/>
          <w:lang w:val="en-US" w:eastAsia="zh-CN"/>
        </w:rPr>
        <w:t xml:space="preserve">Enhancing healing, pain reduction, and minimizing post-op anxiety with remedies like </w:t>
      </w:r>
      <w:r>
        <w:rPr>
          <w:rFonts w:ascii="Times New Roman" w:cs="Times New Roman" w:eastAsia="Times New Roman" w:hAnsi="Times New Roman" w:hint="default"/>
          <w:i/>
          <w:iCs/>
          <w:color w:val="auto"/>
          <w:kern w:val="0"/>
          <w:sz w:val="24"/>
          <w:szCs w:val="24"/>
          <w:lang w:val="en-US" w:eastAsia="zh-CN"/>
        </w:rPr>
        <w:t>Hypericum</w:t>
      </w:r>
      <w:r>
        <w:rPr>
          <w:rFonts w:ascii="Times New Roman" w:cs="Times New Roman" w:eastAsia="Times New Roman" w:hAnsi="Times New Roman" w:hint="default"/>
          <w:color w:val="auto"/>
          <w:kern w:val="0"/>
          <w:sz w:val="24"/>
          <w:szCs w:val="24"/>
          <w:lang w:val="en-US" w:eastAsia="zh-CN"/>
        </w:rPr>
        <w:t xml:space="preserve">, </w:t>
      </w:r>
      <w:r>
        <w:rPr>
          <w:rFonts w:ascii="Times New Roman" w:cs="Times New Roman" w:eastAsia="Times New Roman" w:hAnsi="Times New Roman" w:hint="default"/>
          <w:i/>
          <w:iCs/>
          <w:color w:val="auto"/>
          <w:kern w:val="0"/>
          <w:sz w:val="24"/>
          <w:szCs w:val="24"/>
          <w:lang w:val="en-US" w:eastAsia="zh-CN"/>
        </w:rPr>
        <w:t>Aconite</w:t>
      </w:r>
      <w:r>
        <w:rPr>
          <w:rFonts w:ascii="Times New Roman" w:cs="Times New Roman" w:eastAsia="Times New Roman" w:hAnsi="Times New Roman" w:hint="default"/>
          <w:color w:val="auto"/>
          <w:kern w:val="0"/>
          <w:sz w:val="24"/>
          <w:szCs w:val="24"/>
          <w:lang w:val="en-US" w:eastAsia="zh-CN"/>
        </w:rPr>
        <w:t xml:space="preserve">, or </w:t>
      </w:r>
      <w:r>
        <w:rPr>
          <w:rFonts w:ascii="Times New Roman" w:cs="Times New Roman" w:eastAsia="Times New Roman" w:hAnsi="Times New Roman" w:hint="default"/>
          <w:i/>
          <w:iCs/>
          <w:color w:val="auto"/>
          <w:kern w:val="0"/>
          <w:sz w:val="24"/>
          <w:szCs w:val="24"/>
          <w:lang w:val="en-US" w:eastAsia="zh-CN"/>
        </w:rPr>
        <w:t>Chamomilla</w:t>
      </w:r>
      <w:r>
        <w:rPr>
          <w:rFonts w:ascii="Times New Roman" w:cs="Times New Roman" w:eastAsia="Times New Roman" w:hAnsi="Times New Roman" w:hint="default"/>
          <w:color w:val="auto"/>
          <w:kern w:val="0"/>
          <w:sz w:val="24"/>
          <w:szCs w:val="24"/>
          <w:lang w:val="en-US" w:eastAsia="zh-CN"/>
        </w:rPr>
        <w:t>.</w:t>
      </w:r>
    </w:p>
    <w:p>
      <w:pPr>
        <w:pStyle w:val="style0"/>
        <w:keepNext w:val="false"/>
        <w:keepLines w:val="false"/>
        <w:widowControl/>
        <w:numPr>
          <w:ilvl w:val="0"/>
          <w:numId w:val="0"/>
        </w:numPr>
        <w:suppressLineNumbers w:val="false"/>
        <w:tabs>
          <w:tab w:val="left" w:leader="none" w:pos="90"/>
        </w:tabs>
        <w:spacing w:before="0" w:beforeAutospacing="true" w:after="0" w:afterAutospacing="true" w:lineRule="auto" w:line="240"/>
        <w:ind w:right="0" w:rightChars="0"/>
        <w:jc w:val="both"/>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 xml:space="preserve"> </w:t>
      </w:r>
      <w:r>
        <w:rPr>
          <w:rFonts w:ascii="Times New Roman" w:cs="Times New Roman" w:eastAsia="Times New Roman" w:hAnsi="Times New Roman" w:hint="default"/>
          <w:b/>
          <w:bCs/>
          <w:color w:val="auto"/>
          <w:kern w:val="0"/>
          <w:sz w:val="24"/>
          <w:szCs w:val="24"/>
          <w:lang w:val="en-US" w:eastAsia="zh-CN"/>
        </w:rPr>
        <w:t>2. Enhanced Recovery After Surgery (ERAS) Protocols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These multidisciplinary protocols aim for early recovery through:</w:t>
      </w:r>
    </w:p>
    <w:p>
      <w:pPr>
        <w:pStyle w:val="style0"/>
        <w:keepNext w:val="false"/>
        <w:keepLines w:val="false"/>
        <w:widowControl/>
        <w:numPr>
          <w:ilvl w:val="0"/>
          <w:numId w:val="9"/>
        </w:numPr>
        <w:suppressLineNumbers w:val="false"/>
        <w:spacing w:before="0" w:beforeAutospacing="true" w:after="0" w:afterAutospacing="true" w:lineRule="auto" w:line="240"/>
        <w:ind w:left="18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Minimal opioid use</w:t>
      </w:r>
    </w:p>
    <w:p>
      <w:pPr>
        <w:pStyle w:val="style0"/>
        <w:keepNext w:val="false"/>
        <w:keepLines w:val="false"/>
        <w:widowControl/>
        <w:numPr>
          <w:ilvl w:val="0"/>
          <w:numId w:val="9"/>
        </w:numPr>
        <w:suppressLineNumbers w:val="false"/>
        <w:spacing w:before="0" w:beforeAutospacing="true" w:after="0" w:afterAutospacing="true" w:lineRule="auto" w:line="240"/>
        <w:ind w:left="18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Early feeding and mobilization</w:t>
      </w:r>
    </w:p>
    <w:p>
      <w:pPr>
        <w:pStyle w:val="style0"/>
        <w:keepNext w:val="false"/>
        <w:keepLines w:val="false"/>
        <w:widowControl/>
        <w:numPr>
          <w:ilvl w:val="0"/>
          <w:numId w:val="9"/>
        </w:numPr>
        <w:suppressLineNumbers w:val="false"/>
        <w:spacing w:before="0" w:beforeAutospacing="true" w:after="0" w:afterAutospacing="true" w:lineRule="auto" w:line="240"/>
        <w:ind w:left="18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Patient-centric care</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br/>
      </w:r>
      <w:r>
        <w:rPr>
          <w:rFonts w:ascii="Times New Roman" w:cs="Times New Roman" w:eastAsia="Times New Roman" w:hAnsi="Times New Roman" w:hint="default"/>
          <w:color w:val="auto"/>
          <w:kern w:val="0"/>
          <w:sz w:val="24"/>
          <w:szCs w:val="24"/>
          <w:lang w:val="en-US" w:eastAsia="zh-CN"/>
        </w:rPr>
        <w:t>Homoeopathy fits well within ERAS philosophy, where gentle, non-toxic, individualized care is encouraged.</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Clinical Examples:</w:t>
      </w:r>
    </w:p>
    <w:p>
      <w:pPr>
        <w:pStyle w:val="style0"/>
        <w:keepNext w:val="false"/>
        <w:keepLines w:val="false"/>
        <w:widowControl/>
        <w:numPr>
          <w:ilvl w:val="0"/>
          <w:numId w:val="10"/>
        </w:numPr>
        <w:suppressLineNumbers w:val="false"/>
        <w:tabs>
          <w:tab w:val="left" w:leader="none" w:pos="-90"/>
        </w:tabs>
        <w:spacing w:before="0" w:beforeAutospacing="true" w:after="0" w:afterAutospacing="true" w:lineRule="auto" w:line="240"/>
        <w:ind w:left="0" w:right="0" w:firstLine="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i/>
          <w:iCs/>
          <w:color w:val="auto"/>
          <w:kern w:val="0"/>
          <w:sz w:val="24"/>
          <w:szCs w:val="24"/>
          <w:lang w:val="en-US" w:eastAsia="zh-CN"/>
        </w:rPr>
        <w:t>Nux vomica</w:t>
      </w:r>
      <w:r>
        <w:rPr>
          <w:rFonts w:ascii="Times New Roman" w:cs="Times New Roman" w:eastAsia="Times New Roman" w:hAnsi="Times New Roman" w:hint="default"/>
          <w:color w:val="auto"/>
          <w:kern w:val="0"/>
          <w:sz w:val="24"/>
          <w:szCs w:val="24"/>
          <w:lang w:val="en-US" w:eastAsia="zh-CN"/>
        </w:rPr>
        <w:t xml:space="preserve"> for post-operative gastric disturbances</w:t>
      </w:r>
    </w:p>
    <w:p>
      <w:pPr>
        <w:pStyle w:val="style0"/>
        <w:keepNext w:val="false"/>
        <w:keepLines w:val="false"/>
        <w:widowControl/>
        <w:numPr>
          <w:ilvl w:val="0"/>
          <w:numId w:val="10"/>
        </w:numPr>
        <w:suppressLineNumbers w:val="false"/>
        <w:tabs>
          <w:tab w:val="left" w:leader="none" w:pos="-90"/>
        </w:tabs>
        <w:spacing w:before="0" w:beforeAutospacing="true" w:after="0" w:afterAutospacing="true" w:lineRule="auto" w:line="240"/>
        <w:ind w:left="0" w:right="0" w:firstLine="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i/>
          <w:iCs/>
          <w:color w:val="auto"/>
          <w:kern w:val="0"/>
          <w:sz w:val="24"/>
          <w:szCs w:val="24"/>
          <w:lang w:val="en-US" w:eastAsia="zh-CN"/>
        </w:rPr>
        <w:t>Gelsemium</w:t>
      </w:r>
      <w:r>
        <w:rPr>
          <w:rFonts w:ascii="Times New Roman" w:cs="Times New Roman" w:eastAsia="Times New Roman" w:hAnsi="Times New Roman" w:hint="default"/>
          <w:color w:val="auto"/>
          <w:kern w:val="0"/>
          <w:sz w:val="24"/>
          <w:szCs w:val="24"/>
          <w:lang w:val="en-US" w:eastAsia="zh-CN"/>
        </w:rPr>
        <w:t xml:space="preserve"> for anticipatory anxiety</w:t>
      </w:r>
    </w:p>
    <w:p>
      <w:pPr>
        <w:pStyle w:val="style0"/>
        <w:keepNext w:val="false"/>
        <w:keepLines w:val="false"/>
        <w:widowControl/>
        <w:numPr>
          <w:ilvl w:val="0"/>
          <w:numId w:val="10"/>
        </w:numPr>
        <w:suppressLineNumbers w:val="false"/>
        <w:tabs>
          <w:tab w:val="left" w:leader="none" w:pos="-90"/>
        </w:tabs>
        <w:spacing w:before="0" w:beforeAutospacing="true" w:after="0" w:afterAutospacing="true" w:lineRule="auto" w:line="240"/>
        <w:ind w:left="0" w:right="0" w:firstLine="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i/>
          <w:iCs/>
          <w:color w:val="auto"/>
          <w:kern w:val="0"/>
          <w:sz w:val="24"/>
          <w:szCs w:val="24"/>
          <w:lang w:val="en-US" w:eastAsia="zh-CN"/>
        </w:rPr>
        <w:t>Carbo veg</w:t>
      </w:r>
      <w:r>
        <w:rPr>
          <w:rFonts w:ascii="Times New Roman" w:cs="Times New Roman" w:eastAsia="Times New Roman" w:hAnsi="Times New Roman" w:hint="default"/>
          <w:color w:val="auto"/>
          <w:kern w:val="0"/>
          <w:sz w:val="24"/>
          <w:szCs w:val="24"/>
          <w:lang w:val="en-US" w:eastAsia="zh-CN"/>
        </w:rPr>
        <w:t xml:space="preserve"> for intra-operative collapse or shock</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3. POINT-OF-CARE ULTRASOUND (POCUS) &amp; DIAGNOSTIC ADVANCEMENTS: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Modern surgical diagnostics rely heavily on imaging:</w:t>
      </w:r>
    </w:p>
    <w:p>
      <w:pPr>
        <w:pStyle w:val="style0"/>
        <w:keepNext w:val="false"/>
        <w:keepLines w:val="false"/>
        <w:widowControl/>
        <w:numPr>
          <w:ilvl w:val="0"/>
          <w:numId w:val="11"/>
        </w:numPr>
        <w:suppressLineNumbers w:val="false"/>
        <w:tabs>
          <w:tab w:val="left" w:leader="none" w:pos="180"/>
        </w:tabs>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Ultrasound</w:t>
      </w:r>
    </w:p>
    <w:p>
      <w:pPr>
        <w:pStyle w:val="style0"/>
        <w:keepNext w:val="false"/>
        <w:keepLines w:val="false"/>
        <w:widowControl/>
        <w:numPr>
          <w:ilvl w:val="0"/>
          <w:numId w:val="11"/>
        </w:numPr>
        <w:suppressLineNumbers w:val="false"/>
        <w:tabs>
          <w:tab w:val="left" w:leader="none" w:pos="180"/>
        </w:tabs>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CT/MRI</w:t>
      </w:r>
    </w:p>
    <w:p>
      <w:pPr>
        <w:pStyle w:val="style0"/>
        <w:keepNext w:val="false"/>
        <w:keepLines w:val="false"/>
        <w:widowControl/>
        <w:numPr>
          <w:ilvl w:val="0"/>
          <w:numId w:val="11"/>
        </w:numPr>
        <w:suppressLineNumbers w:val="false"/>
        <w:tabs>
          <w:tab w:val="left" w:leader="none" w:pos="180"/>
        </w:tabs>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Endoscopic visualization</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Relevance for Homoeopaths:</w:t>
      </w:r>
    </w:p>
    <w:p>
      <w:pPr>
        <w:pStyle w:val="style0"/>
        <w:keepNext w:val="false"/>
        <w:keepLines w:val="false"/>
        <w:widowControl/>
        <w:numPr>
          <w:ilvl w:val="0"/>
          <w:numId w:val="1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Early detection through imaging allows for correct referral.</w:t>
      </w:r>
    </w:p>
    <w:p>
      <w:pPr>
        <w:pStyle w:val="style0"/>
        <w:keepNext w:val="false"/>
        <w:keepLines w:val="false"/>
        <w:widowControl/>
        <w:numPr>
          <w:ilvl w:val="0"/>
          <w:numId w:val="1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Imaging also aids in </w:t>
      </w:r>
      <w:r>
        <w:rPr>
          <w:rFonts w:ascii="Times New Roman" w:cs="Times New Roman" w:eastAsia="Times New Roman" w:hAnsi="Times New Roman" w:hint="default"/>
          <w:b/>
          <w:bCs/>
          <w:color w:val="auto"/>
          <w:sz w:val="24"/>
          <w:szCs w:val="24"/>
          <w:lang w:val="en-US"/>
        </w:rPr>
        <w:t>objective assessment</w:t>
      </w:r>
      <w:r>
        <w:rPr>
          <w:rFonts w:ascii="Times New Roman" w:cs="Times New Roman" w:eastAsia="Times New Roman" w:hAnsi="Times New Roman" w:hint="default"/>
          <w:color w:val="auto"/>
          <w:sz w:val="24"/>
          <w:szCs w:val="24"/>
          <w:lang w:val="en-US"/>
        </w:rPr>
        <w:t xml:space="preserve"> of response to homoeopathic treatment (e.g., gallstones, abscesses, fibroids).</w:t>
      </w:r>
    </w:p>
    <w:p>
      <w:pPr>
        <w:pStyle w:val="style0"/>
        <w:keepNext w:val="false"/>
        <w:keepLines w:val="false"/>
        <w:widowControl/>
        <w:numPr>
          <w:ilvl w:val="0"/>
          <w:numId w:val="1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Avoids delays that may lead to complications.</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4. SUTURELESS AND BLOODLESS SURGERIES: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Techniques like:</w:t>
      </w:r>
    </w:p>
    <w:p>
      <w:pPr>
        <w:pStyle w:val="style0"/>
        <w:keepNext w:val="false"/>
        <w:keepLines w:val="false"/>
        <w:widowControl/>
        <w:numPr>
          <w:ilvl w:val="0"/>
          <w:numId w:val="13"/>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Laser surgeries (e.g., piles, varicose veins)</w:t>
      </w:r>
    </w:p>
    <w:p>
      <w:pPr>
        <w:pStyle w:val="style0"/>
        <w:keepNext w:val="false"/>
        <w:keepLines w:val="false"/>
        <w:widowControl/>
        <w:numPr>
          <w:ilvl w:val="0"/>
          <w:numId w:val="13"/>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Electrocautery or harmonic scalpel use</w:t>
      </w:r>
    </w:p>
    <w:p>
      <w:pPr>
        <w:pStyle w:val="style0"/>
        <w:keepNext w:val="false"/>
        <w:keepLines w:val="false"/>
        <w:widowControl/>
        <w:numPr>
          <w:ilvl w:val="0"/>
          <w:numId w:val="13"/>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Tissue adhesives and hemostatic agents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Why Homoeopaths Should Know:</w:t>
      </w:r>
    </w:p>
    <w:p>
      <w:pPr>
        <w:pStyle w:val="style0"/>
        <w:keepNext w:val="false"/>
        <w:keepLines w:val="false"/>
        <w:widowControl/>
        <w:numPr>
          <w:ilvl w:val="0"/>
          <w:numId w:val="14"/>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Patients now report fewer complications post-surgery.</w:t>
      </w:r>
    </w:p>
    <w:p>
      <w:pPr>
        <w:pStyle w:val="style0"/>
        <w:keepNext w:val="false"/>
        <w:keepLines w:val="false"/>
        <w:widowControl/>
        <w:numPr>
          <w:ilvl w:val="0"/>
          <w:numId w:val="14"/>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Many minor surgeries are now OPD-based and may overlap with homoeopathic practice areas (e.g., abscess drainage, wart removal).</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Complementary Remedies:</w:t>
      </w:r>
    </w:p>
    <w:p>
      <w:pPr>
        <w:pStyle w:val="style0"/>
        <w:keepNext w:val="false"/>
        <w:keepLines w:val="false"/>
        <w:widowControl/>
        <w:numPr>
          <w:ilvl w:val="0"/>
          <w:numId w:val="15"/>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i/>
          <w:iCs/>
          <w:color w:val="auto"/>
          <w:sz w:val="24"/>
          <w:szCs w:val="24"/>
          <w:lang w:val="en-US"/>
        </w:rPr>
        <w:t>Ledum pal</w:t>
      </w:r>
      <w:r>
        <w:rPr>
          <w:rFonts w:ascii="Times New Roman" w:cs="Times New Roman" w:eastAsia="Times New Roman" w:hAnsi="Times New Roman" w:hint="default"/>
          <w:color w:val="auto"/>
          <w:sz w:val="24"/>
          <w:szCs w:val="24"/>
          <w:lang w:val="en-US"/>
        </w:rPr>
        <w:t xml:space="preserve"> (puncture wounds)</w:t>
      </w:r>
    </w:p>
    <w:p>
      <w:pPr>
        <w:pStyle w:val="style0"/>
        <w:keepNext w:val="false"/>
        <w:keepLines w:val="false"/>
        <w:widowControl/>
        <w:numPr>
          <w:ilvl w:val="0"/>
          <w:numId w:val="15"/>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i/>
          <w:iCs/>
          <w:color w:val="auto"/>
          <w:sz w:val="24"/>
          <w:szCs w:val="24"/>
          <w:lang w:val="en-US"/>
        </w:rPr>
        <w:t>Ruta</w:t>
      </w:r>
      <w:r>
        <w:rPr>
          <w:rFonts w:ascii="Times New Roman" w:cs="Times New Roman" w:eastAsia="Times New Roman" w:hAnsi="Times New Roman" w:hint="default"/>
          <w:color w:val="auto"/>
          <w:sz w:val="24"/>
          <w:szCs w:val="24"/>
          <w:lang w:val="en-US"/>
        </w:rPr>
        <w:t xml:space="preserve"> (ligament or soft tissue injury)</w:t>
      </w:r>
    </w:p>
    <w:p>
      <w:pPr>
        <w:pStyle w:val="style0"/>
        <w:keepNext w:val="false"/>
        <w:keepLines w:val="false"/>
        <w:widowControl/>
        <w:numPr>
          <w:ilvl w:val="0"/>
          <w:numId w:val="15"/>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i/>
          <w:iCs/>
          <w:color w:val="auto"/>
          <w:sz w:val="24"/>
          <w:szCs w:val="24"/>
          <w:lang w:val="en-US"/>
        </w:rPr>
        <w:t>Calendula</w:t>
      </w:r>
      <w:r>
        <w:rPr>
          <w:rFonts w:ascii="Times New Roman" w:cs="Times New Roman" w:eastAsia="Times New Roman" w:hAnsi="Times New Roman" w:hint="default"/>
          <w:color w:val="auto"/>
          <w:sz w:val="24"/>
          <w:szCs w:val="24"/>
          <w:lang w:val="en-US"/>
        </w:rPr>
        <w:t xml:space="preserve"> (topical and oral for surgical wounds)</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5. REGENERATIVE SURGERY AND STEM CELL USE:</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Stem cell therapy is entering orthopedics, plastic surgery, and wound management.</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Implication:</w:t>
      </w:r>
      <w:r>
        <w:rPr>
          <w:rFonts w:ascii="Times New Roman" w:cs="Times New Roman" w:eastAsia="Times New Roman" w:hAnsi="Times New Roman" w:hint="default"/>
          <w:color w:val="auto"/>
          <w:kern w:val="0"/>
          <w:sz w:val="24"/>
          <w:szCs w:val="24"/>
          <w:lang w:val="en-US" w:eastAsia="zh-CN"/>
        </w:rPr>
        <w:br/>
      </w:r>
      <w:r>
        <w:rPr>
          <w:rFonts w:ascii="Times New Roman" w:cs="Times New Roman" w:eastAsia="Times New Roman" w:hAnsi="Times New Roman" w:hint="default"/>
          <w:color w:val="auto"/>
          <w:kern w:val="0"/>
          <w:sz w:val="24"/>
          <w:szCs w:val="24"/>
          <w:lang w:val="en-US" w:eastAsia="zh-CN"/>
        </w:rPr>
        <w:t>Though not directly related to homoeopathy, patients may inquire about alternative regenerative therapies. A homoeopath with basic understanding can offer safer guidance and set realistic expectations.</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6. ORGAN TRANSPLANTATION &amp; IMMUNOSUPPRESSION:</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Patients post-transplant often seek homoeopathy for:</w:t>
      </w:r>
    </w:p>
    <w:p>
      <w:pPr>
        <w:pStyle w:val="style0"/>
        <w:keepNext w:val="false"/>
        <w:keepLines w:val="false"/>
        <w:widowControl/>
        <w:numPr>
          <w:ilvl w:val="0"/>
          <w:numId w:val="16"/>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General well-being</w:t>
      </w:r>
    </w:p>
    <w:p>
      <w:pPr>
        <w:pStyle w:val="style0"/>
        <w:keepNext w:val="false"/>
        <w:keepLines w:val="false"/>
        <w:widowControl/>
        <w:numPr>
          <w:ilvl w:val="0"/>
          <w:numId w:val="16"/>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Side effects of immunosuppressants</w:t>
      </w:r>
    </w:p>
    <w:p>
      <w:pPr>
        <w:pStyle w:val="style0"/>
        <w:keepNext w:val="false"/>
        <w:keepLines w:val="false"/>
        <w:widowControl/>
        <w:numPr>
          <w:ilvl w:val="0"/>
          <w:numId w:val="16"/>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Supportive therapy in chronic conditions (e.g., renal transplant with diabetes)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Homoeopath's Role:</w:t>
      </w:r>
    </w:p>
    <w:p>
      <w:pPr>
        <w:pStyle w:val="style0"/>
        <w:keepNext w:val="false"/>
        <w:keepLines w:val="false"/>
        <w:widowControl/>
        <w:numPr>
          <w:ilvl w:val="0"/>
          <w:numId w:val="17"/>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Avoid polypharmacy and drug interactions.</w:t>
      </w:r>
    </w:p>
    <w:p>
      <w:pPr>
        <w:pStyle w:val="style0"/>
        <w:keepNext w:val="false"/>
        <w:keepLines w:val="false"/>
        <w:widowControl/>
        <w:numPr>
          <w:ilvl w:val="0"/>
          <w:numId w:val="17"/>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Use constitutional care cautiously under informed supervision.</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7. DAY-CARE SURGERIES: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The rise of daycare procedures (cataract surgery, minor excisions, fistula surgery) allows quicker return to daily activities.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Homoeopathy Can Aid In:</w:t>
      </w:r>
    </w:p>
    <w:p>
      <w:pPr>
        <w:pStyle w:val="style0"/>
        <w:keepNext w:val="false"/>
        <w:keepLines w:val="false"/>
        <w:widowControl/>
        <w:numPr>
          <w:ilvl w:val="0"/>
          <w:numId w:val="18"/>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Enhancing post-procedure recovery.</w:t>
      </w:r>
    </w:p>
    <w:p>
      <w:pPr>
        <w:pStyle w:val="style0"/>
        <w:keepNext w:val="false"/>
        <w:keepLines w:val="false"/>
        <w:widowControl/>
        <w:numPr>
          <w:ilvl w:val="0"/>
          <w:numId w:val="18"/>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Reducing reliance on antibiotics or analgesics when appropriate.</w:t>
      </w:r>
    </w:p>
    <w:p>
      <w:pPr>
        <w:pStyle w:val="style0"/>
        <w:keepNext w:val="false"/>
        <w:keepLines w:val="false"/>
        <w:widowControl/>
        <w:numPr>
          <w:ilvl w:val="0"/>
          <w:numId w:val="18"/>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Improving patient satisfaction with adjunctive care.</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8. SURGICAL ONCOLOGY ADVANCES:</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With improved early detection (biopsy, tumor markers, PET scans), oncological surgeries have become more targeted and organ-preserving.</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kern w:val="0"/>
          <w:sz w:val="24"/>
          <w:szCs w:val="24"/>
          <w:lang w:val="en-US" w:eastAsia="zh-CN"/>
        </w:rPr>
        <w:t>Homoeopathic Perspective:</w:t>
      </w:r>
    </w:p>
    <w:p>
      <w:pPr>
        <w:pStyle w:val="style0"/>
        <w:keepNext w:val="false"/>
        <w:keepLines w:val="false"/>
        <w:widowControl/>
        <w:numPr>
          <w:ilvl w:val="0"/>
          <w:numId w:val="19"/>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Role in </w:t>
      </w:r>
      <w:r>
        <w:rPr>
          <w:rFonts w:ascii="Times New Roman" w:cs="Times New Roman" w:eastAsia="Times New Roman" w:hAnsi="Times New Roman" w:hint="default"/>
          <w:b/>
          <w:bCs/>
          <w:color w:val="auto"/>
          <w:sz w:val="24"/>
          <w:szCs w:val="24"/>
          <w:lang w:val="en-US"/>
        </w:rPr>
        <w:t>palliative care</w:t>
      </w:r>
      <w:r>
        <w:rPr>
          <w:rFonts w:ascii="Times New Roman" w:cs="Times New Roman" w:eastAsia="Times New Roman" w:hAnsi="Times New Roman" w:hint="default"/>
          <w:color w:val="auto"/>
          <w:sz w:val="24"/>
          <w:szCs w:val="24"/>
          <w:lang w:val="en-US"/>
        </w:rPr>
        <w:t xml:space="preserve">, </w:t>
      </w:r>
      <w:r>
        <w:rPr>
          <w:rFonts w:ascii="Times New Roman" w:cs="Times New Roman" w:eastAsia="Times New Roman" w:hAnsi="Times New Roman" w:hint="default"/>
          <w:b/>
          <w:bCs/>
          <w:color w:val="auto"/>
          <w:sz w:val="24"/>
          <w:szCs w:val="24"/>
          <w:lang w:val="en-US"/>
        </w:rPr>
        <w:t>post-chemo/radiotherapy fatigue</w:t>
      </w:r>
      <w:r>
        <w:rPr>
          <w:rFonts w:ascii="Times New Roman" w:cs="Times New Roman" w:eastAsia="Times New Roman" w:hAnsi="Times New Roman" w:hint="default"/>
          <w:color w:val="auto"/>
          <w:sz w:val="24"/>
          <w:szCs w:val="24"/>
          <w:lang w:val="en-US"/>
        </w:rPr>
        <w:t xml:space="preserve">, and </w:t>
      </w:r>
      <w:r>
        <w:rPr>
          <w:rFonts w:ascii="Times New Roman" w:cs="Times New Roman" w:eastAsia="Times New Roman" w:hAnsi="Times New Roman" w:hint="default"/>
          <w:b/>
          <w:bCs/>
          <w:color w:val="auto"/>
          <w:sz w:val="24"/>
          <w:szCs w:val="24"/>
          <w:lang w:val="en-US"/>
        </w:rPr>
        <w:t>pain management</w:t>
      </w:r>
      <w:r>
        <w:rPr>
          <w:rFonts w:ascii="Times New Roman" w:cs="Times New Roman" w:eastAsia="Times New Roman" w:hAnsi="Times New Roman" w:hint="default"/>
          <w:color w:val="auto"/>
          <w:sz w:val="24"/>
          <w:szCs w:val="24"/>
          <w:lang w:val="en-US"/>
        </w:rPr>
        <w:t>.</w:t>
      </w:r>
    </w:p>
    <w:p>
      <w:pPr>
        <w:pStyle w:val="style0"/>
        <w:keepNext w:val="false"/>
        <w:keepLines w:val="false"/>
        <w:widowControl/>
        <w:numPr>
          <w:ilvl w:val="0"/>
          <w:numId w:val="19"/>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Maintaining patient morale with remedies like </w:t>
      </w:r>
      <w:r>
        <w:rPr>
          <w:rFonts w:ascii="Times New Roman" w:cs="Times New Roman" w:eastAsia="Times New Roman" w:hAnsi="Times New Roman" w:hint="default"/>
          <w:i/>
          <w:iCs/>
          <w:color w:val="auto"/>
          <w:sz w:val="24"/>
          <w:szCs w:val="24"/>
          <w:lang w:val="en-US"/>
        </w:rPr>
        <w:t>Conium</w:t>
      </w:r>
      <w:r>
        <w:rPr>
          <w:rFonts w:ascii="Times New Roman" w:cs="Times New Roman" w:eastAsia="Times New Roman" w:hAnsi="Times New Roman" w:hint="default"/>
          <w:color w:val="auto"/>
          <w:sz w:val="24"/>
          <w:szCs w:val="24"/>
          <w:lang w:val="en-US"/>
        </w:rPr>
        <w:t xml:space="preserve">, </w:t>
      </w:r>
      <w:r>
        <w:rPr>
          <w:rFonts w:ascii="Times New Roman" w:cs="Times New Roman" w:eastAsia="Times New Roman" w:hAnsi="Times New Roman" w:hint="default"/>
          <w:i/>
          <w:iCs/>
          <w:color w:val="auto"/>
          <w:sz w:val="24"/>
          <w:szCs w:val="24"/>
          <w:lang w:val="en-US"/>
        </w:rPr>
        <w:t>Carcinosin</w:t>
      </w:r>
      <w:r>
        <w:rPr>
          <w:rFonts w:ascii="Times New Roman" w:cs="Times New Roman" w:eastAsia="Times New Roman" w:hAnsi="Times New Roman" w:hint="default"/>
          <w:color w:val="auto"/>
          <w:sz w:val="24"/>
          <w:szCs w:val="24"/>
          <w:lang w:val="en-US"/>
        </w:rPr>
        <w:t xml:space="preserve">, </w:t>
      </w:r>
      <w:r>
        <w:rPr>
          <w:rFonts w:ascii="Times New Roman" w:cs="Times New Roman" w:eastAsia="Times New Roman" w:hAnsi="Times New Roman" w:hint="default"/>
          <w:i/>
          <w:iCs/>
          <w:color w:val="auto"/>
          <w:sz w:val="24"/>
          <w:szCs w:val="24"/>
          <w:lang w:val="en-US"/>
        </w:rPr>
        <w:t>Thuja</w:t>
      </w:r>
      <w:r>
        <w:rPr>
          <w:rFonts w:ascii="Times New Roman" w:cs="Times New Roman" w:eastAsia="Times New Roman" w:hAnsi="Times New Roman" w:hint="default"/>
          <w:color w:val="auto"/>
          <w:sz w:val="24"/>
          <w:szCs w:val="24"/>
          <w:lang w:val="en-US"/>
        </w:rPr>
        <w:t xml:space="preserve">, or </w:t>
      </w:r>
      <w:r>
        <w:rPr>
          <w:rFonts w:ascii="Times New Roman" w:cs="Times New Roman" w:eastAsia="Times New Roman" w:hAnsi="Times New Roman" w:hint="default"/>
          <w:i/>
          <w:iCs/>
          <w:color w:val="auto"/>
          <w:sz w:val="24"/>
          <w:szCs w:val="24"/>
          <w:lang w:val="en-US"/>
        </w:rPr>
        <w:t>Phosphorus</w:t>
      </w:r>
      <w:r>
        <w:rPr>
          <w:rFonts w:ascii="Times New Roman" w:cs="Times New Roman" w:eastAsia="Times New Roman" w:hAnsi="Times New Roman" w:hint="default"/>
          <w:color w:val="auto"/>
          <w:sz w:val="24"/>
          <w:szCs w:val="24"/>
          <w:lang w:val="en-US"/>
        </w:rPr>
        <w:t>.</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III. SPECIAL FOCUS: SURGICAL CONDITIONS COMMONLY ENCOUNTERED IN HOMOEOPATHIC OPDS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
      <w:tblGrid>
        <w:gridCol w:w="9576"/>
      </w:tblGrid>
      <w:tr>
        <w:trPr/>
        <w:tc>
          <w:tcPr>
            <w:tcW w:w="9576" w:type="dxa"/>
            <w:tcBorders>
              <w:top w:val="single" w:sz="4" w:space="0" w:color="000000"/>
              <w:left w:val="single" w:sz="4" w:space="0" w:color="000000"/>
              <w:bottom w:val="single" w:sz="4" w:space="0" w:color="000000"/>
              <w:right w:val="single" w:sz="4" w:space="0" w:color="000000"/>
            </w:tcBorders>
            <w:shd w:val="clear" w:color="auto" w:fill="auto"/>
          </w:tcPr>
          <w:tbl>
            <w:tblPr>
              <w:tblStyle w:val="style234"/>
              <w:tblStyleRowBandSize w:val="1"/>
              <w:tblStyleColBandSize w:val="1"/>
              <w:tblW w:w="0" w:type="auto"/>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auto"/>
              <w:tblCellMar>
                <w:top w:w="0" w:type="dxa"/>
                <w:left w:w="108" w:type="dxa"/>
                <w:bottom w:w="0" w:type="dxa"/>
                <w:right w:w="108" w:type="dxa"/>
              </w:tblCellMar>
            </w:tblPr>
            <w:tblGrid>
              <w:gridCol w:w="1610"/>
              <w:gridCol w:w="2070"/>
              <w:gridCol w:w="3460"/>
              <w:gridCol w:w="2220"/>
            </w:tblGrid>
            <w:tr>
              <w:trPr/>
              <w:tc>
                <w:tcPr>
                  <w:tcW w:w="1610" w:type="dxa"/>
                  <w:tcBorders>
                    <w:top w:val="single" w:sz="8" w:space="0" w:color="4bacc6"/>
                    <w:left w:val="single" w:sz="8" w:space="0" w:color="4bacc6"/>
                    <w:bottom w:val="single" w:sz="1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Surgical Condition</w:t>
                  </w:r>
                </w:p>
              </w:tc>
              <w:tc>
                <w:tcPr>
                  <w:tcW w:w="2070" w:type="dxa"/>
                  <w:tcBorders>
                    <w:top w:val="single" w:sz="8" w:space="0" w:color="4bacc6"/>
                    <w:left w:val="single" w:sz="8" w:space="0" w:color="4bacc6"/>
                    <w:bottom w:val="single" w:sz="1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Initial Symptoms Seen in OPD</w:t>
                  </w:r>
                </w:p>
              </w:tc>
              <w:tc>
                <w:tcPr>
                  <w:tcW w:w="3460" w:type="dxa"/>
                  <w:tcBorders>
                    <w:top w:val="single" w:sz="8" w:space="0" w:color="4bacc6"/>
                    <w:left w:val="single" w:sz="8" w:space="0" w:color="4bacc6"/>
                    <w:bottom w:val="single" w:sz="1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Homoeopathic Scope</w:t>
                  </w:r>
                </w:p>
              </w:tc>
              <w:tc>
                <w:tcPr>
                  <w:tcW w:w="0" w:type="auto"/>
                  <w:tcBorders>
                    <w:top w:val="single" w:sz="8" w:space="0" w:color="4bacc6"/>
                    <w:left w:val="single" w:sz="8" w:space="0" w:color="4bacc6"/>
                    <w:bottom w:val="single" w:sz="1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Referral Indication</w:t>
                  </w:r>
                </w:p>
              </w:tc>
            </w:tr>
            <w:tr>
              <w:tblPrEx/>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Hernia</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Groin swelling, discomfort</w:t>
                  </w:r>
                </w:p>
              </w:tc>
              <w:tc>
                <w:tcPr>
                  <w:tcW w:w="346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Support in non-surgical cases</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Pain, irreducibility</w:t>
                  </w:r>
                </w:p>
              </w:tc>
            </w:tr>
            <w:tr>
              <w:tblPrEx/>
              <w:trPr/>
              <w:tc>
                <w:tcPr>
                  <w:tcW w:w="161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Fistula-in-ano</w:t>
                  </w:r>
                </w:p>
              </w:tc>
              <w:tc>
                <w:tcPr>
                  <w:tcW w:w="207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Discharge, peri-anal pain</w:t>
                  </w:r>
                </w:p>
              </w:tc>
              <w:tc>
                <w:tcPr>
                  <w:tcW w:w="346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Supportive remedies (</w:t>
                  </w:r>
                  <w:r>
                    <w:rPr>
                      <w:rFonts w:ascii="Times New Roman" w:cs="Times New Roman" w:eastAsia="Times New Roman" w:hAnsi="Times New Roman" w:hint="default"/>
                      <w:i/>
                      <w:iCs/>
                      <w:color w:val="auto"/>
                      <w:kern w:val="0"/>
                      <w:sz w:val="24"/>
                      <w:szCs w:val="24"/>
                      <w:bdr w:val="none" w:sz="0" w:space="0" w:color="auto"/>
                      <w:lang w:val="en-US" w:eastAsia="zh-CN"/>
                    </w:rPr>
                    <w:t>Silicea</w:t>
                  </w:r>
                  <w:r>
                    <w:rPr>
                      <w:rFonts w:ascii="Times New Roman" w:cs="Times New Roman" w:eastAsia="Times New Roman" w:hAnsi="Times New Roman" w:hint="default"/>
                      <w:color w:val="auto"/>
                      <w:kern w:val="0"/>
                      <w:sz w:val="24"/>
                      <w:szCs w:val="24"/>
                      <w:bdr w:val="none" w:sz="0" w:space="0" w:color="auto"/>
                      <w:lang w:val="en-US" w:eastAsia="zh-CN"/>
                    </w:rPr>
                    <w:t xml:space="preserve">, </w:t>
                  </w:r>
                  <w:r>
                    <w:rPr>
                      <w:rFonts w:ascii="Times New Roman" w:cs="Times New Roman" w:eastAsia="Times New Roman" w:hAnsi="Times New Roman" w:hint="default"/>
                      <w:i/>
                      <w:iCs/>
                      <w:color w:val="auto"/>
                      <w:kern w:val="0"/>
                      <w:sz w:val="24"/>
                      <w:szCs w:val="24"/>
                      <w:bdr w:val="none" w:sz="0" w:space="0" w:color="auto"/>
                      <w:lang w:val="en-US" w:eastAsia="zh-CN"/>
                    </w:rPr>
                    <w:t>Calc-sulph</w:t>
                  </w:r>
                  <w:r>
                    <w:rPr>
                      <w:rFonts w:ascii="Times New Roman" w:cs="Times New Roman" w:eastAsia="Times New Roman" w:hAnsi="Times New Roman" w:hint="default"/>
                      <w:color w:val="auto"/>
                      <w:kern w:val="0"/>
                      <w:sz w:val="24"/>
                      <w:szCs w:val="24"/>
                      <w:bdr w:val="none" w:sz="0" w:space="0" w:color="auto"/>
                      <w:lang w:val="en-US" w:eastAsia="zh-CN"/>
                    </w:rPr>
                    <w:t>)</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Surgical correction needed</w:t>
                  </w:r>
                </w:p>
              </w:tc>
            </w:tr>
            <w:tr>
              <w:tblPrEx/>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Abscess</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Swelling, redness, pus</w:t>
                  </w:r>
                </w:p>
              </w:tc>
              <w:tc>
                <w:tcPr>
                  <w:tcW w:w="346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i/>
                      <w:iCs/>
                      <w:color w:val="auto"/>
                      <w:kern w:val="0"/>
                      <w:sz w:val="24"/>
                      <w:szCs w:val="24"/>
                      <w:bdr w:val="none" w:sz="0" w:space="0" w:color="auto"/>
                      <w:lang w:val="en-US" w:eastAsia="zh-CN"/>
                    </w:rPr>
                    <w:t>Hepar sulph</w:t>
                  </w:r>
                  <w:r>
                    <w:rPr>
                      <w:rFonts w:ascii="Times New Roman" w:cs="Times New Roman" w:eastAsia="Times New Roman" w:hAnsi="Times New Roman" w:hint="default"/>
                      <w:color w:val="auto"/>
                      <w:kern w:val="0"/>
                      <w:sz w:val="24"/>
                      <w:szCs w:val="24"/>
                      <w:bdr w:val="none" w:sz="0" w:space="0" w:color="auto"/>
                      <w:lang w:val="en-US" w:eastAsia="zh-CN"/>
                    </w:rPr>
                    <w:t xml:space="preserve">, </w:t>
                  </w:r>
                  <w:r>
                    <w:rPr>
                      <w:rFonts w:ascii="Times New Roman" w:cs="Times New Roman" w:eastAsia="Times New Roman" w:hAnsi="Times New Roman" w:hint="default"/>
                      <w:i/>
                      <w:iCs/>
                      <w:color w:val="auto"/>
                      <w:kern w:val="0"/>
                      <w:sz w:val="24"/>
                      <w:szCs w:val="24"/>
                      <w:bdr w:val="none" w:sz="0" w:space="0" w:color="auto"/>
                      <w:lang w:val="en-US" w:eastAsia="zh-CN"/>
                    </w:rPr>
                    <w:t>Silicea</w:t>
                  </w:r>
                  <w:r>
                    <w:rPr>
                      <w:rFonts w:ascii="Times New Roman" w:cs="Times New Roman" w:eastAsia="Times New Roman" w:hAnsi="Times New Roman" w:hint="default"/>
                      <w:color w:val="auto"/>
                      <w:kern w:val="0"/>
                      <w:sz w:val="24"/>
                      <w:szCs w:val="24"/>
                      <w:bdr w:val="none" w:sz="0" w:space="0" w:color="auto"/>
                      <w:lang w:val="en-US" w:eastAsia="zh-CN"/>
                    </w:rPr>
                    <w:t xml:space="preserve"> to localize or drain</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Large or deep abscess</w:t>
                  </w:r>
                </w:p>
              </w:tc>
            </w:tr>
            <w:tr>
              <w:tblPrEx/>
              <w:trPr/>
              <w:tc>
                <w:tcPr>
                  <w:tcW w:w="161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Fibroids</w:t>
                  </w:r>
                </w:p>
              </w:tc>
              <w:tc>
                <w:tcPr>
                  <w:tcW w:w="207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Menstrual irregularities</w:t>
                  </w:r>
                </w:p>
              </w:tc>
              <w:tc>
                <w:tcPr>
                  <w:tcW w:w="346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Individualized treatment in small fibroids</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Excessive bleeding, large size</w:t>
                  </w:r>
                </w:p>
              </w:tc>
            </w:tr>
            <w:tr>
              <w:tblPrEx/>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Gallstones</w:t>
                  </w:r>
                </w:p>
              </w:tc>
              <w:tc>
                <w:tcPr>
                  <w:tcW w:w="207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Flatulence, pain</w:t>
                  </w:r>
                </w:p>
              </w:tc>
              <w:tc>
                <w:tcPr>
                  <w:tcW w:w="3460" w:type="dxa"/>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Chronic management if asymptomatic</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Pain, obstruction</w:t>
                  </w:r>
                </w:p>
              </w:tc>
            </w:tr>
            <w:tr>
              <w:tblPrEx/>
              <w:trPr/>
              <w:tc>
                <w:tcPr>
                  <w:tcW w:w="161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b/>
                      <w:bCs/>
                      <w:color w:val="auto"/>
                      <w:sz w:val="24"/>
                      <w:szCs w:val="24"/>
                      <w:bdr w:val="none" w:sz="0" w:space="0" w:color="auto"/>
                    </w:rPr>
                  </w:pPr>
                  <w:r>
                    <w:rPr>
                      <w:rFonts w:ascii="Times New Roman" w:cs="Times New Roman" w:eastAsia="Times New Roman" w:hAnsi="Times New Roman" w:hint="default"/>
                      <w:b/>
                      <w:bCs/>
                      <w:color w:val="auto"/>
                      <w:kern w:val="0"/>
                      <w:sz w:val="24"/>
                      <w:szCs w:val="24"/>
                      <w:bdr w:val="none" w:sz="0" w:space="0" w:color="auto"/>
                      <w:lang w:val="en-US" w:eastAsia="zh-CN"/>
                    </w:rPr>
                    <w:t>Piles</w:t>
                  </w:r>
                </w:p>
              </w:tc>
              <w:tc>
                <w:tcPr>
                  <w:tcW w:w="207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Bleeding, prolapse</w:t>
                  </w:r>
                </w:p>
              </w:tc>
              <w:tc>
                <w:tcPr>
                  <w:tcW w:w="3460" w:type="dxa"/>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i/>
                      <w:iCs/>
                      <w:color w:val="auto"/>
                      <w:kern w:val="0"/>
                      <w:sz w:val="24"/>
                      <w:szCs w:val="24"/>
                      <w:bdr w:val="none" w:sz="0" w:space="0" w:color="auto"/>
                      <w:lang w:val="en-US" w:eastAsia="zh-CN"/>
                    </w:rPr>
                    <w:t>Aesculus</w:t>
                  </w:r>
                  <w:r>
                    <w:rPr>
                      <w:rFonts w:ascii="Times New Roman" w:cs="Times New Roman" w:eastAsia="Times New Roman" w:hAnsi="Times New Roman" w:hint="default"/>
                      <w:color w:val="auto"/>
                      <w:kern w:val="0"/>
                      <w:sz w:val="24"/>
                      <w:szCs w:val="24"/>
                      <w:bdr w:val="none" w:sz="0" w:space="0" w:color="auto"/>
                      <w:lang w:val="en-US" w:eastAsia="zh-CN"/>
                    </w:rPr>
                    <w:t>,</w:t>
                  </w:r>
                  <w:r>
                    <w:rPr>
                      <w:rFonts w:ascii="Times New Roman" w:cs="Times New Roman" w:eastAsia="Times New Roman" w:hAnsi="Times New Roman" w:hint="default"/>
                      <w:i/>
                      <w:iCs/>
                      <w:color w:val="auto"/>
                      <w:kern w:val="0"/>
                      <w:sz w:val="24"/>
                      <w:szCs w:val="24"/>
                      <w:bdr w:val="none" w:sz="0" w:space="0" w:color="auto"/>
                      <w:lang w:val="en-US" w:eastAsia="zh-CN"/>
                    </w:rPr>
                    <w:t>Hamamelis</w:t>
                  </w:r>
                  <w:r>
                    <w:rPr>
                      <w:rFonts w:ascii="Times New Roman" w:cs="Times New Roman" w:eastAsia="Times New Roman" w:hAnsi="Times New Roman" w:hint="default"/>
                      <w:color w:val="auto"/>
                      <w:kern w:val="0"/>
                      <w:sz w:val="24"/>
                      <w:szCs w:val="24"/>
                      <w:bdr w:val="none" w:sz="0" w:space="0" w:color="auto"/>
                      <w:lang w:val="en-US" w:eastAsia="zh-CN"/>
                    </w:rPr>
                    <w:t xml:space="preserve">, </w:t>
                  </w:r>
                  <w:r>
                    <w:rPr>
                      <w:rFonts w:ascii="Times New Roman" w:cs="Times New Roman" w:eastAsia="Times New Roman" w:hAnsi="Times New Roman" w:hint="default"/>
                      <w:i/>
                      <w:iCs/>
                      <w:color w:val="auto"/>
                      <w:kern w:val="0"/>
                      <w:sz w:val="24"/>
                      <w:szCs w:val="24"/>
                      <w:bdr w:val="none" w:sz="0" w:space="0" w:color="auto"/>
                      <w:lang w:val="en-US" w:eastAsia="zh-CN"/>
                    </w:rPr>
                    <w:t>Collinsonia</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bdr w:val="none" w:sz="0" w:space="0" w:color="auto"/>
                    </w:rPr>
                  </w:pPr>
                  <w:r>
                    <w:rPr>
                      <w:rFonts w:ascii="Times New Roman" w:cs="Times New Roman" w:eastAsia="Times New Roman" w:hAnsi="Times New Roman" w:hint="default"/>
                      <w:color w:val="auto"/>
                      <w:kern w:val="0"/>
                      <w:sz w:val="24"/>
                      <w:szCs w:val="24"/>
                      <w:bdr w:val="none" w:sz="0" w:space="0" w:color="auto"/>
                      <w:lang w:val="en-US" w:eastAsia="zh-CN"/>
                    </w:rPr>
                    <w:t>Grade III/IV or thrombosis</w:t>
                  </w:r>
                </w:p>
              </w:tc>
            </w:tr>
          </w:tbl>
          <w:p>
            <w:pPr>
              <w:pStyle w:val="style0"/>
              <w:keepNext w:val="false"/>
              <w:keepLines w:val="false"/>
              <w:widowControl/>
              <w:suppressLineNumbers w:val="false"/>
              <w:spacing w:before="0" w:beforeAutospacing="false" w:after="0" w:afterAutospacing="false" w:lineRule="auto" w:line="240"/>
              <w:ind w:left="0" w:right="0"/>
              <w:jc w:val="left"/>
              <w:rPr>
                <w:color w:val="auto"/>
                <w:bdr w:val="none" w:sz="0" w:space="0" w:color="auto"/>
              </w:rPr>
            </w:pPr>
          </w:p>
        </w:tc>
      </w:tr>
    </w:tbl>
    <w:p>
      <w:pPr>
        <w:pStyle w:val="style0"/>
        <w:keepNext w:val="false"/>
        <w:keepLines w:val="false"/>
        <w:widowControl/>
        <w:suppressLineNumbers w:val="false"/>
        <w:spacing w:before="0" w:beforeAutospacing="false" w:after="0" w:afterAutospacing="false" w:lineRule="auto" w:line="240"/>
        <w:ind w:left="0" w:right="0"/>
        <w:jc w:val="both"/>
        <w:rPr>
          <w:rFonts w:ascii="Times New Roman" w:cs="Times New Roman" w:eastAsia="Times New Roman" w:hAnsi="Times New Roman" w:hint="default"/>
          <w:color w:val="auto"/>
          <w:sz w:val="24"/>
          <w:szCs w:val="24"/>
          <w:lang w:val="en-US"/>
        </w:rPr>
      </w:pP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IV. POST-OPERATIVE CARE: A HOMOEOPATHIC STRENGTH:</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Homoeopathy has traditionally excelled in post-operative care by:</w:t>
      </w:r>
    </w:p>
    <w:p>
      <w:pPr>
        <w:pStyle w:val="style0"/>
        <w:keepNext w:val="false"/>
        <w:keepLines w:val="false"/>
        <w:widowControl/>
        <w:numPr>
          <w:ilvl w:val="0"/>
          <w:numId w:val="20"/>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Reducing pain and inflammation without side effects</w:t>
      </w:r>
    </w:p>
    <w:p>
      <w:pPr>
        <w:pStyle w:val="style0"/>
        <w:keepNext w:val="false"/>
        <w:keepLines w:val="false"/>
        <w:widowControl/>
        <w:numPr>
          <w:ilvl w:val="0"/>
          <w:numId w:val="20"/>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Accelerating wound healing</w:t>
      </w:r>
    </w:p>
    <w:p>
      <w:pPr>
        <w:pStyle w:val="style0"/>
        <w:keepNext w:val="false"/>
        <w:keepLines w:val="false"/>
        <w:widowControl/>
        <w:numPr>
          <w:ilvl w:val="0"/>
          <w:numId w:val="20"/>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Managing shock and trauma responses</w:t>
      </w:r>
    </w:p>
    <w:p>
      <w:pPr>
        <w:pStyle w:val="style0"/>
        <w:keepNext w:val="false"/>
        <w:keepLines w:val="false"/>
        <w:widowControl/>
        <w:numPr>
          <w:ilvl w:val="0"/>
          <w:numId w:val="20"/>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Treating drug side-effects</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V. EDUCATING THE HOMOEOPATHIC PRACTITIONER: SURGICAL LITERACY IS ESSENTIAL</w:t>
      </w:r>
    </w:p>
    <w:p>
      <w:pPr>
        <w:pStyle w:val="style0"/>
        <w:keepNext w:val="false"/>
        <w:keepLines w:val="false"/>
        <w:widowControl/>
        <w:suppressLineNumbers w:val="false"/>
        <w:spacing w:before="0" w:beforeAutospacing="true" w:after="0" w:afterAutospacing="true" w:lineRule="auto" w:line="240"/>
        <w:ind w:left="0" w:right="0"/>
        <w:jc w:val="both"/>
        <w:outlineLvl w:val="2"/>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Institutional Implications:</w:t>
      </w:r>
    </w:p>
    <w:p>
      <w:pPr>
        <w:pStyle w:val="style0"/>
        <w:keepNext w:val="false"/>
        <w:keepLines w:val="false"/>
        <w:widowControl/>
        <w:numPr>
          <w:ilvl w:val="0"/>
          <w:numId w:val="21"/>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sz w:val="24"/>
          <w:szCs w:val="24"/>
          <w:lang w:val="en-US"/>
        </w:rPr>
        <w:t>Homoeopathic Colleges</w:t>
      </w:r>
      <w:r>
        <w:rPr>
          <w:rFonts w:ascii="Times New Roman" w:cs="Times New Roman" w:eastAsia="Times New Roman" w:hAnsi="Times New Roman" w:hint="default"/>
          <w:color w:val="auto"/>
          <w:sz w:val="24"/>
          <w:szCs w:val="24"/>
          <w:lang w:val="en-US"/>
        </w:rPr>
        <w:t xml:space="preserve"> must integrate </w:t>
      </w:r>
      <w:r>
        <w:rPr>
          <w:rFonts w:ascii="Times New Roman" w:cs="Times New Roman" w:eastAsia="Times New Roman" w:hAnsi="Times New Roman" w:hint="default"/>
          <w:b/>
          <w:bCs/>
          <w:color w:val="auto"/>
          <w:sz w:val="24"/>
          <w:szCs w:val="24"/>
          <w:lang w:val="en-US"/>
        </w:rPr>
        <w:t>clinical surgery training</w:t>
      </w:r>
      <w:r>
        <w:rPr>
          <w:rFonts w:ascii="Times New Roman" w:cs="Times New Roman" w:eastAsia="Times New Roman" w:hAnsi="Times New Roman" w:hint="default"/>
          <w:color w:val="auto"/>
          <w:sz w:val="24"/>
          <w:szCs w:val="24"/>
          <w:lang w:val="en-US"/>
        </w:rPr>
        <w:t xml:space="preserve"> with relevance to homoeopathy.</w:t>
      </w:r>
    </w:p>
    <w:p>
      <w:pPr>
        <w:pStyle w:val="style0"/>
        <w:keepNext w:val="false"/>
        <w:keepLines w:val="false"/>
        <w:widowControl/>
        <w:numPr>
          <w:ilvl w:val="0"/>
          <w:numId w:val="21"/>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b/>
          <w:bCs/>
          <w:color w:val="auto"/>
          <w:sz w:val="24"/>
          <w:szCs w:val="24"/>
          <w:lang w:val="en-US"/>
        </w:rPr>
        <w:t>Seminars and workshops</w:t>
      </w:r>
      <w:r>
        <w:rPr>
          <w:rFonts w:ascii="Times New Roman" w:cs="Times New Roman" w:eastAsia="Times New Roman" w:hAnsi="Times New Roman" w:hint="default"/>
          <w:color w:val="auto"/>
          <w:sz w:val="24"/>
          <w:szCs w:val="24"/>
          <w:lang w:val="en-US"/>
        </w:rPr>
        <w:t xml:space="preserve"> with general surgeons should be regular.</w:t>
      </w:r>
    </w:p>
    <w:p>
      <w:pPr>
        <w:pStyle w:val="style0"/>
        <w:keepNext w:val="false"/>
        <w:keepLines w:val="false"/>
        <w:widowControl/>
        <w:numPr>
          <w:ilvl w:val="0"/>
          <w:numId w:val="21"/>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Training in </w:t>
      </w:r>
      <w:r>
        <w:rPr>
          <w:rFonts w:ascii="Times New Roman" w:cs="Times New Roman" w:eastAsia="Times New Roman" w:hAnsi="Times New Roman" w:hint="default"/>
          <w:b/>
          <w:bCs/>
          <w:color w:val="auto"/>
          <w:sz w:val="24"/>
          <w:szCs w:val="24"/>
          <w:lang w:val="en-US"/>
        </w:rPr>
        <w:t>diagnostic skill, minor OT procedures, wound care</w:t>
      </w:r>
      <w:r>
        <w:rPr>
          <w:rFonts w:ascii="Times New Roman" w:cs="Times New Roman" w:eastAsia="Times New Roman" w:hAnsi="Times New Roman" w:hint="default"/>
          <w:color w:val="auto"/>
          <w:sz w:val="24"/>
          <w:szCs w:val="24"/>
          <w:lang w:val="en-US"/>
        </w:rPr>
        <w:t xml:space="preserve"> is crucial for modern homoeopaths.</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CONCLUSION:</w:t>
      </w:r>
    </w:p>
    <w:p>
      <w:pPr>
        <w:pStyle w:val="style0"/>
        <w:keepNext w:val="false"/>
        <w:keepLines w:val="false"/>
        <w:widowControl/>
        <w:suppressLineNumbers w:val="false"/>
        <w:spacing w:before="0" w:beforeAutospacing="true" w:after="0" w:afterAutospacing="true" w:lineRule="auto" w:line="240"/>
        <w:ind w:left="0" w:right="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kern w:val="0"/>
          <w:sz w:val="24"/>
          <w:szCs w:val="24"/>
          <w:lang w:val="en-US" w:eastAsia="zh-CN"/>
        </w:rPr>
        <w:t>Surgical advancements are not distant from the world of homoeopathy. In today’s interdisciplinary healthcare environment, it is essential for homoeopathic practitioners to be well-versed with evolving surgical methods—not to perform them, but to understand, appropriately refer, and provide safe and effective supportive care. By bridging the knowledge gap, homoeopaths can emerge as more competent, respected, and integrative healers.</w:t>
      </w:r>
    </w:p>
    <w:p>
      <w:pPr>
        <w:pStyle w:val="style0"/>
        <w:keepNext w:val="false"/>
        <w:keepLines w:val="false"/>
        <w:widowControl/>
        <w:suppressLineNumbers w:val="false"/>
        <w:spacing w:before="0" w:beforeAutospacing="true" w:after="0" w:afterAutospacing="true" w:lineRule="auto" w:line="240"/>
        <w:ind w:left="0" w:right="0"/>
        <w:jc w:val="both"/>
        <w:outlineLvl w:val="1"/>
        <w:rPr>
          <w:rFonts w:ascii="Times New Roman" w:cs="Times New Roman" w:eastAsia="Times New Roman" w:hAnsi="Times New Roman" w:hint="default"/>
          <w:b/>
          <w:bCs/>
          <w:color w:val="auto"/>
          <w:sz w:val="24"/>
          <w:szCs w:val="24"/>
          <w:lang w:val="en-US"/>
        </w:rPr>
      </w:pPr>
      <w:r>
        <w:rPr>
          <w:rFonts w:ascii="Times New Roman" w:cs="Times New Roman" w:eastAsia="Times New Roman" w:hAnsi="Times New Roman" w:hint="default"/>
          <w:b/>
          <w:bCs/>
          <w:color w:val="auto"/>
          <w:kern w:val="0"/>
          <w:sz w:val="24"/>
          <w:szCs w:val="24"/>
          <w:lang w:val="en-US" w:eastAsia="zh-CN"/>
        </w:rPr>
        <w:t>REFERENCES:</w:t>
      </w:r>
    </w:p>
    <w:p>
      <w:pPr>
        <w:pStyle w:val="style0"/>
        <w:keepNext w:val="false"/>
        <w:keepLines w:val="false"/>
        <w:widowControl/>
        <w:numPr>
          <w:ilvl w:val="0"/>
          <w:numId w:val="2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Cameron JL, Cameron AM. </w:t>
      </w:r>
      <w:r>
        <w:rPr>
          <w:rFonts w:ascii="Times New Roman" w:cs="Times New Roman" w:eastAsia="Times New Roman" w:hAnsi="Times New Roman" w:hint="default"/>
          <w:i/>
          <w:iCs/>
          <w:color w:val="auto"/>
          <w:sz w:val="24"/>
          <w:szCs w:val="24"/>
          <w:lang w:val="en-US"/>
        </w:rPr>
        <w:t>Current Surgical Therapy</w:t>
      </w:r>
      <w:r>
        <w:rPr>
          <w:rFonts w:ascii="Times New Roman" w:cs="Times New Roman" w:eastAsia="Times New Roman" w:hAnsi="Times New Roman" w:hint="default"/>
          <w:color w:val="auto"/>
          <w:sz w:val="24"/>
          <w:szCs w:val="24"/>
          <w:lang w:val="en-US"/>
        </w:rPr>
        <w:t>. Elsevier; 2022.</w:t>
      </w:r>
    </w:p>
    <w:p>
      <w:pPr>
        <w:pStyle w:val="style0"/>
        <w:keepNext w:val="false"/>
        <w:keepLines w:val="false"/>
        <w:widowControl/>
        <w:numPr>
          <w:ilvl w:val="0"/>
          <w:numId w:val="2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Jain R. </w:t>
      </w:r>
      <w:r>
        <w:rPr>
          <w:rFonts w:ascii="Times New Roman" w:cs="Times New Roman" w:eastAsia="Times New Roman" w:hAnsi="Times New Roman" w:hint="default"/>
          <w:i/>
          <w:iCs/>
          <w:color w:val="auto"/>
          <w:sz w:val="24"/>
          <w:szCs w:val="24"/>
          <w:lang w:val="en-US"/>
        </w:rPr>
        <w:t>Essentials of General Surgery for Homeopathy</w:t>
      </w:r>
      <w:r>
        <w:rPr>
          <w:rFonts w:ascii="Times New Roman" w:cs="Times New Roman" w:eastAsia="Times New Roman" w:hAnsi="Times New Roman" w:hint="default"/>
          <w:color w:val="auto"/>
          <w:sz w:val="24"/>
          <w:szCs w:val="24"/>
          <w:lang w:val="en-US"/>
        </w:rPr>
        <w:t>. B. Jain Publishers; 2019.</w:t>
      </w:r>
    </w:p>
    <w:p>
      <w:pPr>
        <w:pStyle w:val="style0"/>
        <w:keepNext w:val="false"/>
        <w:keepLines w:val="false"/>
        <w:widowControl/>
        <w:numPr>
          <w:ilvl w:val="0"/>
          <w:numId w:val="2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ERAS Society Guidelines. https://erassociety.org</w:t>
      </w:r>
    </w:p>
    <w:p>
      <w:pPr>
        <w:pStyle w:val="style0"/>
        <w:keepNext w:val="false"/>
        <w:keepLines w:val="false"/>
        <w:widowControl/>
        <w:numPr>
          <w:ilvl w:val="0"/>
          <w:numId w:val="2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Ghosh K. Role of Homeopathy in Post-Surgical Care. </w:t>
      </w:r>
      <w:r>
        <w:rPr>
          <w:rFonts w:ascii="Times New Roman" w:cs="Times New Roman" w:eastAsia="Times New Roman" w:hAnsi="Times New Roman" w:hint="default"/>
          <w:i/>
          <w:iCs/>
          <w:color w:val="auto"/>
          <w:sz w:val="24"/>
          <w:szCs w:val="24"/>
          <w:lang w:val="en-US"/>
        </w:rPr>
        <w:t>Int J Hom Sci</w:t>
      </w:r>
      <w:r>
        <w:rPr>
          <w:rFonts w:ascii="Times New Roman" w:cs="Times New Roman" w:eastAsia="Times New Roman" w:hAnsi="Times New Roman" w:hint="default"/>
          <w:color w:val="auto"/>
          <w:sz w:val="24"/>
          <w:szCs w:val="24"/>
          <w:lang w:val="en-US"/>
        </w:rPr>
        <w:t>. 2023;7(1):25–29.</w:t>
      </w:r>
    </w:p>
    <w:p>
      <w:pPr>
        <w:pStyle w:val="style0"/>
        <w:keepNext w:val="false"/>
        <w:keepLines w:val="false"/>
        <w:widowControl/>
        <w:numPr>
          <w:ilvl w:val="0"/>
          <w:numId w:val="22"/>
        </w:numPr>
        <w:suppressLineNumbers w:val="false"/>
        <w:spacing w:before="0" w:beforeAutospacing="true" w:after="0" w:afterAutospacing="true" w:lineRule="auto" w:line="240"/>
        <w:ind w:left="720" w:right="0" w:hanging="360"/>
        <w:jc w:val="both"/>
        <w:rPr>
          <w:rFonts w:ascii="Times New Roman" w:cs="Times New Roman" w:eastAsia="Times New Roman" w:hAnsi="Times New Roman" w:hint="default"/>
          <w:color w:val="auto"/>
          <w:sz w:val="24"/>
          <w:szCs w:val="24"/>
          <w:lang w:val="en-US"/>
        </w:rPr>
      </w:pPr>
      <w:r>
        <w:rPr>
          <w:rFonts w:ascii="Times New Roman" w:cs="Times New Roman" w:eastAsia="Times New Roman" w:hAnsi="Times New Roman" w:hint="default"/>
          <w:color w:val="auto"/>
          <w:sz w:val="24"/>
          <w:szCs w:val="24"/>
          <w:lang w:val="en-US"/>
        </w:rPr>
        <w:t xml:space="preserve">Majeed A. Complementary and Alternative Medicine in Surgery. </w:t>
      </w:r>
      <w:r>
        <w:rPr>
          <w:rFonts w:ascii="Times New Roman" w:cs="Times New Roman" w:eastAsia="Times New Roman" w:hAnsi="Times New Roman" w:hint="default"/>
          <w:i/>
          <w:iCs/>
          <w:color w:val="auto"/>
          <w:sz w:val="24"/>
          <w:szCs w:val="24"/>
          <w:lang w:val="en-US"/>
        </w:rPr>
        <w:t>BMJ</w:t>
      </w:r>
      <w:r>
        <w:rPr>
          <w:rFonts w:ascii="Times New Roman" w:cs="Times New Roman" w:eastAsia="Times New Roman" w:hAnsi="Times New Roman" w:hint="default"/>
          <w:color w:val="auto"/>
          <w:sz w:val="24"/>
          <w:szCs w:val="24"/>
          <w:lang w:val="en-US"/>
        </w:rPr>
        <w:t>. 2017;356:j604.</w:t>
      </w:r>
    </w:p>
    <w:p>
      <w:pPr>
        <w:pStyle w:val="style0"/>
        <w:keepNext w:val="false"/>
        <w:keepLines w:val="false"/>
        <w:widowControl/>
        <w:suppressLineNumbers w:val="false"/>
        <w:spacing w:before="0" w:beforeAutospacing="false" w:after="200" w:afterAutospacing="false" w:lineRule="auto" w:line="240"/>
        <w:ind w:left="0" w:right="0"/>
        <w:jc w:val="both"/>
        <w:rPr>
          <w:color w:val="auto"/>
          <w:sz w:val="24"/>
          <w:szCs w:val="24"/>
          <w:lang w:val="en-US"/>
        </w:rPr>
      </w:pPr>
    </w:p>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jc w:val="both"/>
        <w:rPr>
          <w:rFonts w:ascii="Times New Roman" w:cs="Times New Roman" w:eastAsia="Times New Roman" w:hAnsi="Times New Roman"/>
          <w:color w:val="auto"/>
          <w:sz w:val="24"/>
          <w:szCs w:val="24"/>
        </w:rPr>
      </w:pPr>
    </w:p>
    <w:sectPr>
      <w:pgSz w:w="12240" w:h="15840" w:orient="portrait"/>
      <w:pgMar w:top="1440" w:right="1440" w:bottom="1440" w:left="1440"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AFF" w:usb1="C0007843" w:usb2="00000009" w:usb3="00000000" w:csb0="400001FF" w:csb1="FFFF0000"/>
  </w:font>
  <w:font w:name="SimHei">
    <w:altName w:val="SimHei"/>
    <w:panose1 w:val="02010609060001010101"/>
    <w:charset w:val="86"/>
    <w:family w:val="auto"/>
    <w:pitch w:val="default"/>
    <w:sig w:usb0="800002BF" w:usb1="38CF7CFA" w:usb2="00000016" w:usb3="00000000" w:csb0="00040001" w:csb1="00000000"/>
  </w:font>
  <w:font w:name="Courier New">
    <w:altName w:val="Courier New"/>
    <w:panose1 w:val="02070309020002020404"/>
    <w:charset w:val="00"/>
    <w:family w:val="modern"/>
    <w:pitch w:val="default"/>
    <w:sig w:usb0="E0002A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ource Sans Pro">
    <w:altName w:val="SimSun"/>
    <w:panose1 w:val="00000000000000000000"/>
    <w:charset w:val="86"/>
    <w:family w:val="auto"/>
    <w:pitch w:val="default"/>
    <w:sig w:usb0="00000000" w:usb1="00000000" w:usb2="00000000" w:usb3="00000000" w:csb0="00000000" w:csb1="00000000"/>
  </w:font>
  <w:font w:name="Yanone Kaffeesatz">
    <w:altName w:val="Times New Roman"/>
    <w:panose1 w:val="00000000000000000000"/>
    <w:charset w:val="00"/>
    <w:family w:val="roman"/>
    <w:pitch w:val="default"/>
    <w:sig w:usb0="00000000" w:usb1="00000000" w:usb2="00000000" w:usb3="00000000" w:csb0="00000000" w:csb1="00000000"/>
  </w:font>
  <w:font w:name="Trebuchet MS">
    <w:altName w:val="Trebuchet MS"/>
    <w:panose1 w:val="020b0603020002020204"/>
    <w:charset w:val="00"/>
    <w:family w:val="swiss"/>
    <w:pitch w:val="default"/>
    <w:sig w:usb0="00000287" w:usb1="00000000" w:usb2="00000000" w:usb3="00000000" w:csb0="2000009F" w:csb1="00000000"/>
  </w:font>
  <w:font w:name="Tahoma">
    <w:altName w:val="Tahoma"/>
    <w:panose1 w:val="020b0604030005040204"/>
    <w:charset w:val="00"/>
    <w:family w:val="swiss"/>
    <w:pitch w:val="default"/>
    <w:sig w:usb0="E1002EFF" w:usb1="C000605B" w:usb2="00000029" w:usb3="00000000" w:csb0="200101FF" w:csb1="20280000"/>
  </w:font>
  <w:font w:name="Yellowtail">
    <w:altName w:val="Times New Roman"/>
    <w:panose1 w:val="00000000000000000000"/>
    <w:charset w:val="00"/>
    <w:family w:val="auto"/>
    <w:pitch w:val="default"/>
    <w:sig w:usb0="00000000" w:usb1="00000000" w:usb2="00000000" w:usb3="00000000" w:csb0="00000000" w:csb1="00000000"/>
  </w:font>
  <w:font w:name="Symbol">
    <w:altName w:val="Symbol"/>
    <w:panose1 w:val="05050102010007020507"/>
    <w:charset w:val="02"/>
    <w:family w:val="roman"/>
    <w:pitch w:val="default"/>
    <w:sig w:usb0="00000000" w:usb1="00000000" w:usb2="00000000" w:usb3="00000000" w:csb0="80000000" w:csb1="00000000"/>
  </w:font>
  <w:font w:name="Cambria Math">
    <w:altName w:val="Cambria Math"/>
    <w:panose1 w:val="02040503050004030204"/>
    <w:charset w:val="01"/>
    <w:family w:val="auto"/>
    <w:pitch w:val="variable"/>
    <w:sig w:usb0="E00002FF" w:usb1="420024FF" w:usb2="00000000" w:usb3="00000000" w:csb0="2000019F" w:csb1="00000000"/>
  </w:font>
  <w:font w:name="Cambria">
    <w:altName w:val="Cambria"/>
    <w:panose1 w:val="02040503050004030204"/>
    <w:charset w:val="00"/>
    <w:family w:val="auto"/>
    <w:pitch w:val="default"/>
    <w:sig w:usb0="E00002FF" w:usb1="400004FF" w:usb2="00000000" w:usb3="00000000" w:csb0="2000019F" w:csb1="00000000"/>
  </w:font>
  <w:font w:name="Arial Unicode MS">
    <w:altName w:val="Arial Unicode MS"/>
    <w:panose1 w:val="020b0604020002020204"/>
    <w:charset w:val="86"/>
    <w:family w:val="auto"/>
    <w:pitch w:val="default"/>
    <w:sig w:usb0="FFFFFFFF" w:usb1="E9FFFFFF" w:usb2="0000003F" w:usb3="00000000" w:csb0="603F01FF" w:csb1="FFFF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one" w:sz="0" w:space="0" w:color="auto"/>
        <w:right w:val="none" w:sz="0" w:space="0" w:color="auto"/>
        <w:top w:val="none" w:sz="0" w:space="0" w:color="auto"/>
        <w:bottom w:val="none" w:sz="0" w:space="0" w:color="auto"/>
        <w:between w:val="none" w:sz="0" w:space="0" w:color="auto"/>
      </w:pBdr>
      <w:spacing w:lineRule="auto" w:line="240"/>
      <w:ind w:left="-1440" w:right="-1005"/>
      <w:rPr>
        <w:sz w:val="14"/>
        <w:szCs w:val="14"/>
      </w:rPr>
    </w:pPr>
  </w:p>
  <w:tbl>
    <w:tblPr>
      <w:tblStyle w:val="style4103"/>
      <w:tblW w:w="12225" w:type="dxa"/>
      <w:tblInd w:w="-1540" w:type="dxa"/>
      <w:tblBorders>
        <w:top w:val="single" w:sz="8" w:space="0" w:color="5e2b97"/>
        <w:left w:val="single" w:sz="8" w:space="0" w:color="5e2b97"/>
        <w:bottom w:val="single" w:sz="8" w:space="0" w:color="5e2b97"/>
        <w:right w:val="single" w:sz="8" w:space="0" w:color="5e2b97"/>
        <w:insideH w:val="single" w:sz="8" w:space="0" w:color="5e2b97"/>
        <w:insideV w:val="single" w:sz="8" w:space="0" w:color="5e2b97"/>
      </w:tblBorders>
      <w:tblLayout w:type="fixed"/>
      <w:tblCellMar>
        <w:top w:w="100" w:type="dxa"/>
        <w:left w:w="100" w:type="dxa"/>
        <w:bottom w:w="100" w:type="dxa"/>
        <w:right w:w="100" w:type="dxa"/>
      </w:tblCellMar>
    </w:tblPr>
    <w:tblGrid>
      <w:gridCol w:w="12225"/>
    </w:tblGrid>
    <w:tr>
      <w:trPr>
        <w:cantSplit/>
        <w:trHeight w:val="660" w:hRule="atLeast"/>
        <w:tblHeader/>
      </w:trPr>
      <w:tc>
        <w:tcPr>
          <w:tcW w:w="12225" w:type="dxa"/>
          <w:tcBorders/>
          <w:shd w:val="clear" w:color="auto" w:fill="5e2b97"/>
          <w:tcMar>
            <w:top w:w="100" w:type="dxa"/>
            <w:left w:w="100" w:type="dxa"/>
            <w:bottom w:w="100" w:type="dxa"/>
            <w:right w:w="100" w:type="dxa"/>
          </w:tcMar>
          <w:vAlign w:val="center"/>
        </w:tcPr>
        <w:p>
          <w:pPr>
            <w:pStyle w:val="style0"/>
            <w:widowControl w:val="false"/>
            <w:pBdr>
              <w:left w:val="none" w:sz="0" w:space="0" w:color="auto"/>
              <w:right w:val="none" w:sz="0" w:space="0" w:color="auto"/>
              <w:top w:val="none" w:sz="0" w:space="0" w:color="auto"/>
              <w:bottom w:val="none" w:sz="0" w:space="0" w:color="auto"/>
              <w:between w:val="none" w:sz="0" w:space="0" w:color="auto"/>
            </w:pBdr>
            <w:spacing w:before="0" w:lineRule="auto" w:line="240"/>
            <w:ind w:left="75"/>
            <w:jc w:val="center"/>
            <w:rPr>
              <w:color w:val="ffffff"/>
              <w:sz w:val="28"/>
              <w:szCs w:val="28"/>
            </w:rPr>
          </w:pPr>
          <w:r>
            <w:rPr>
              <w:color w:val="ffffff"/>
              <w:sz w:val="28"/>
              <w:szCs w:val="28"/>
            </w:rPr>
            <w:fldChar w:fldCharType="begin"/>
          </w:r>
          <w:r>
            <w:rPr>
              <w:color w:val="ffffff"/>
              <w:sz w:val="28"/>
              <w:szCs w:val="28"/>
            </w:rPr>
            <w:instrText>PAGE</w:instrText>
          </w:r>
          <w:r>
            <w:rPr>
              <w:color w:val="ffffff"/>
              <w:sz w:val="28"/>
              <w:szCs w:val="28"/>
            </w:rPr>
            <w:fldChar w:fldCharType="separate"/>
          </w:r>
          <w:r>
            <w:rPr>
              <w:color w:val="ffffff"/>
              <w:sz w:val="28"/>
              <w:szCs w:val="28"/>
            </w:rPr>
            <w:t>2</w:t>
          </w:r>
          <w:r>
            <w:rPr>
              <w:color w:val="ffffff"/>
              <w:sz w:val="28"/>
              <w:szCs w:val="28"/>
            </w:rPr>
            <w:fldChar w:fldCharType="end"/>
          </w:r>
        </w:p>
      </w:tc>
    </w:tr>
    <w:bookmarkStart w:id="5" w:name="_heading=h.p9gq9rdxducg" w:colFirst="0" w:colLast="0"/>
    <w:bookmarkEnd w:id="5"/>
  </w:tbl>
  <w:p>
    <w:pPr>
      <w:pStyle w:val="style62"/>
      <w:spacing w:before="200" w:lineRule="auto" w:line="276"/>
      <w:ind w:hanging="15"/>
      <w:jc w:val="right"/>
      <w:rPr>
        <w:sz w:val="12"/>
        <w:szCs w:val="12"/>
      </w:rPr>
    </w:pPr>
    <w:r>
      <w:rPr>
        <w:sz w:val="20"/>
        <w:szCs w:val="20"/>
      </w:rPr>
      <w:t>HOMOEOPATHY ARENA [January 2025]</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ind w:left="-1440" w:right="-1005"/>
      <w:rPr>
        <w:sz w:val="12"/>
        <w:szCs w:val="12"/>
      </w:rPr>
    </w:pPr>
  </w:p>
  <w:tbl>
    <w:tblPr>
      <w:tblStyle w:val="style4104"/>
      <w:tblW w:w="12225" w:type="dxa"/>
      <w:tblInd w:w="-1540" w:type="dxa"/>
      <w:tblBorders>
        <w:top w:val="single" w:sz="8" w:space="0" w:color="5e2b97"/>
        <w:left w:val="single" w:sz="8" w:space="0" w:color="5e2b97"/>
        <w:bottom w:val="single" w:sz="8" w:space="0" w:color="5e2b97"/>
        <w:right w:val="single" w:sz="8" w:space="0" w:color="5e2b97"/>
        <w:insideH w:val="single" w:sz="8" w:space="0" w:color="5e2b97"/>
        <w:insideV w:val="single" w:sz="8" w:space="0" w:color="5e2b97"/>
      </w:tblBorders>
      <w:tblLayout w:type="fixed"/>
      <w:tblCellMar>
        <w:top w:w="100" w:type="dxa"/>
        <w:left w:w="100" w:type="dxa"/>
        <w:bottom w:w="100" w:type="dxa"/>
        <w:right w:w="100" w:type="dxa"/>
      </w:tblCellMar>
    </w:tblPr>
    <w:tblGrid>
      <w:gridCol w:w="12225"/>
    </w:tblGrid>
    <w:tr>
      <w:trPr>
        <w:cantSplit/>
        <w:trHeight w:val="660" w:hRule="atLeast"/>
        <w:tblHeader/>
      </w:trPr>
      <w:tc>
        <w:tcPr>
          <w:tcW w:w="12225" w:type="dxa"/>
          <w:tcBorders/>
          <w:shd w:val="clear" w:color="auto" w:fill="5e2b97"/>
          <w:tcMar>
            <w:top w:w="100" w:type="dxa"/>
            <w:left w:w="100" w:type="dxa"/>
            <w:bottom w:w="100" w:type="dxa"/>
            <w:right w:w="100" w:type="dxa"/>
          </w:tcMar>
          <w:vAlign w:val="center"/>
        </w:tcPr>
        <w:p>
          <w:pPr>
            <w:pStyle w:val="style0"/>
            <w:pBdr>
              <w:left w:val="none" w:sz="0" w:space="0" w:color="auto"/>
              <w:right w:val="none" w:sz="0" w:space="0" w:color="auto"/>
              <w:top w:val="none" w:sz="0" w:space="0" w:color="auto"/>
              <w:bottom w:val="none" w:sz="0" w:space="0" w:color="auto"/>
              <w:between w:val="none" w:sz="0" w:space="0" w:color="auto"/>
            </w:pBdr>
            <w:spacing w:before="0"/>
            <w:ind w:left="75"/>
            <w:jc w:val="center"/>
            <w:rPr>
              <w:color w:val="ffffff"/>
            </w:rPr>
          </w:pPr>
          <w:r>
            <w:rPr>
              <w:color w:val="ffffff"/>
            </w:rPr>
            <w:fldChar w:fldCharType="begin"/>
          </w:r>
          <w:r>
            <w:rPr>
              <w:color w:val="ffffff"/>
            </w:rPr>
            <w:instrText>PAGE</w:instrText>
          </w:r>
          <w:r>
            <w:rPr>
              <w:color w:val="ffffff"/>
            </w:rPr>
            <w:fldChar w:fldCharType="separate"/>
          </w:r>
          <w:r>
            <w:rPr>
              <w:color w:val="ffffff"/>
            </w:rPr>
            <w:t>1</w:t>
          </w:r>
          <w:r>
            <w:rPr>
              <w:color w:val="ffffff"/>
            </w:rPr>
            <w:fldChar w:fldCharType="end"/>
          </w:r>
        </w:p>
      </w:tc>
    </w:tr>
  </w:tbl>
  <w:p>
    <w:pPr>
      <w:pStyle w:val="style0"/>
      <w:pBdr>
        <w:left w:val="none" w:sz="0" w:space="0" w:color="auto"/>
        <w:right w:val="none" w:sz="0" w:space="0" w:color="auto"/>
        <w:top w:val="none" w:sz="0" w:space="0" w:color="auto"/>
        <w:bottom w:val="none" w:sz="0" w:space="0" w:color="auto"/>
        <w:between w:val="none" w:sz="0" w:space="0" w:color="auto"/>
      </w:pBdr>
      <w:spacing w:before="0" w:lineRule="auto" w:line="240"/>
      <w:ind w:left="-1440" w:right="-1005"/>
      <w:rPr>
        <w:sz w:val="12"/>
        <w:szCs w:val="1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one" w:sz="0" w:space="0" w:color="auto"/>
        <w:right w:val="none" w:sz="0" w:space="0" w:color="auto"/>
        <w:top w:val="none" w:sz="0" w:space="0" w:color="auto"/>
        <w:bottom w:val="none" w:sz="0" w:space="0" w:color="auto"/>
        <w:between w:val="none" w:sz="0" w:space="0" w:color="auto"/>
      </w:pBdr>
      <w:rPr/>
    </w:pPr>
    <w:r>
      <w:t xml:space="preserve">  </w:t>
    </w:r>
  </w:p>
  <w:p>
    <w:pPr>
      <w:pStyle w:val="style0"/>
      <w:pBdr>
        <w:left w:val="none" w:sz="0" w:space="0" w:color="auto"/>
        <w:right w:val="none" w:sz="0" w:space="0" w:color="auto"/>
        <w:top w:val="none" w:sz="0" w:space="0" w:color="auto"/>
        <w:bottom w:val="none" w:sz="0" w:space="0" w:color="auto"/>
        <w:between w:val="none" w:sz="0" w:space="0" w:color="auto"/>
      </w:pBdr>
      <w:rPr/>
    </w:pPr>
    <w:r>
      <w:rPr/>
      <w:drawing>
        <wp:inline distL="0" distT="0" distB="0" distR="0">
          <wp:extent cx="5943600" cy="50800"/>
          <wp:effectExtent l="0" t="0" r="0" b="0"/>
          <wp:docPr id="4097" name="image2.png" descr="horizontal lin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cstate="print"/>
                  <a:srcRect l="0" t="0" r="0" b="0"/>
                  <a:stretch/>
                </pic:blipFill>
                <pic:spPr>
                  <a:xfrm rot="0">
                    <a:off x="0" y="0"/>
                    <a:ext cx="5943600" cy="50800"/>
                  </a:xfrm>
                  <a:prstGeom prst="rect"/>
                </pic:spPr>
              </pic:pic>
            </a:graphicData>
          </a:graphic>
        </wp:inline>
      </w:drawing>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one" w:sz="0" w:space="0" w:color="auto"/>
        <w:right w:val="none" w:sz="0" w:space="0" w:color="auto"/>
        <w:top w:val="none" w:sz="0" w:space="0" w:color="auto"/>
        <w:bottom w:val="none" w:sz="0" w:space="0" w:color="auto"/>
        <w:between w:val="none" w:sz="0" w:space="0" w:color="auto"/>
      </w:pBdr>
      <w:rPr/>
    </w:pPr>
    <w:r>
      <w:rPr/>
      <w:drawing>
        <wp:anchor distT="0" distB="0" distL="0" distR="0" simplePos="false" relativeHeight="2" behindDoc="true" locked="false" layoutInCell="true" allowOverlap="true">
          <wp:simplePos x="0" y="0"/>
          <wp:positionH relativeFrom="page">
            <wp:posOffset>5018405</wp:posOffset>
          </wp:positionH>
          <wp:positionV relativeFrom="page">
            <wp:posOffset>190500</wp:posOffset>
          </wp:positionV>
          <wp:extent cx="2039620" cy="357505"/>
          <wp:effectExtent l="0" t="0" r="0" b="0"/>
          <wp:wrapNone/>
          <wp:docPr id="4098" name="image1.png" descr="E:\University &amp; SKHMC Logo\Logo.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rcRect l="0" t="0" r="0" b="0"/>
                  <a:stretch/>
                </pic:blipFill>
                <pic:spPr>
                  <a:xfrm rot="0">
                    <a:off x="0" y="0"/>
                    <a:ext cx="2039620" cy="357505"/>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6951EE2"/>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
    <w:nsid w:val="00000001"/>
    <w:multiLevelType w:val="multilevel"/>
    <w:tmpl w:val="9E307A85"/>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2">
    <w:nsid w:val="00000002"/>
    <w:multiLevelType w:val="multilevel"/>
    <w:tmpl w:val="D52118C4"/>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3">
    <w:nsid w:val="00000003"/>
    <w:multiLevelType w:val="multilevel"/>
    <w:tmpl w:val="DBAD0679"/>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4">
    <w:nsid w:val="00000004"/>
    <w:multiLevelType w:val="multilevel"/>
    <w:tmpl w:val="E3F0AF44"/>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5">
    <w:nsid w:val="00000005"/>
    <w:multiLevelType w:val="multilevel"/>
    <w:tmpl w:val="1346A7AC"/>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6">
    <w:nsid w:val="00000006"/>
    <w:multiLevelType w:val="multilevel"/>
    <w:tmpl w:val="1833C0A6"/>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7">
    <w:nsid w:val="00000007"/>
    <w:multiLevelType w:val="multilevel"/>
    <w:tmpl w:val="19B03A48"/>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25B32526"/>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9">
    <w:nsid w:val="00000009"/>
    <w:multiLevelType w:val="multilevel"/>
    <w:tmpl w:val="31A12895"/>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0">
    <w:nsid w:val="0000000A"/>
    <w:multiLevelType w:val="multilevel"/>
    <w:tmpl w:val="37F008F6"/>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1">
    <w:nsid w:val="0000000B"/>
    <w:multiLevelType w:val="multilevel"/>
    <w:tmpl w:val="3B014E47"/>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cs="Courier New" w:hAnsi="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cs="Courier New" w:hAnsi="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cs="Courier New" w:hAnsi="Courier New" w:hint="default"/>
      </w:rPr>
    </w:lvl>
    <w:lvl w:ilvl="8">
      <w:start w:val="1"/>
      <w:numFmt w:val="bullet"/>
      <w:lvlText w:val=""/>
      <w:lvlJc w:val="left"/>
      <w:pPr>
        <w:ind w:left="6545" w:hanging="360"/>
      </w:pPr>
      <w:rPr>
        <w:rFonts w:ascii="Wingdings" w:hAnsi="Wingdings" w:hint="default"/>
      </w:rPr>
    </w:lvl>
  </w:abstractNum>
  <w:abstractNum w:abstractNumId="12">
    <w:nsid w:val="0000000C"/>
    <w:multiLevelType w:val="multilevel"/>
    <w:tmpl w:val="3C38ED45"/>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3">
    <w:nsid w:val="0000000D"/>
    <w:multiLevelType w:val="multilevel"/>
    <w:tmpl w:val="4388CB99"/>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4">
    <w:nsid w:val="0000000E"/>
    <w:multiLevelType w:val="multilevel"/>
    <w:tmpl w:val="4B41F72C"/>
    <w:lvl w:ilvl="0">
      <w:start w:val="1"/>
      <w:numFmt w:val="decimal"/>
      <w:lvlText w:val="%1."/>
      <w:lvlJc w:val="left"/>
      <w:pPr>
        <w:tabs>
          <w:tab w:val="left" w:leader="none" w:pos="720"/>
        </w:tabs>
        <w:ind w:left="720" w:firstLine="65176"/>
      </w:p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5">
    <w:nsid w:val="0000000F"/>
    <w:multiLevelType w:val="multilevel"/>
    <w:tmpl w:val="4BBD47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0000010"/>
    <w:multiLevelType w:val="multilevel"/>
    <w:tmpl w:val="4CEF3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00000011"/>
    <w:multiLevelType w:val="multilevel"/>
    <w:tmpl w:val="54291226"/>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8">
    <w:nsid w:val="00000012"/>
    <w:multiLevelType w:val="multilevel"/>
    <w:tmpl w:val="58DB7025"/>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19">
    <w:nsid w:val="00000013"/>
    <w:multiLevelType w:val="multilevel"/>
    <w:tmpl w:val="60B13751"/>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20">
    <w:nsid w:val="00000014"/>
    <w:multiLevelType w:val="multilevel"/>
    <w:tmpl w:val="671AEE5B"/>
    <w:lvl w:ilvl="0">
      <w:start w:val="1"/>
      <w:numFmt w:val="bullet"/>
      <w:lvlText w:val=""/>
      <w:lvlJc w:val="left"/>
      <w:pPr>
        <w:tabs>
          <w:tab w:val="left" w:leader="none" w:pos="720"/>
        </w:tabs>
        <w:ind w:left="720" w:hanging="360"/>
      </w:pPr>
      <w:rPr>
        <w:rFonts w:ascii="Symbol" w:cs="Symbol" w:hAnsi="Symbol" w:hint="default"/>
        <w:sz w:val="20"/>
      </w:rPr>
    </w:lvl>
    <w:lvl w:ilvl="1">
      <w:start w:val="1"/>
      <w:numFmt w:val="decimal"/>
      <w:lvlText w:val="%2."/>
      <w:lvlJc w:val="left"/>
      <w:pPr>
        <w:tabs>
          <w:tab w:val="left" w:leader="none" w:pos="1440"/>
        </w:tabs>
        <w:ind w:left="1440" w:firstLine="65176"/>
      </w:pPr>
    </w:lvl>
    <w:lvl w:ilvl="2">
      <w:start w:val="1"/>
      <w:numFmt w:val="decimal"/>
      <w:lvlText w:val="%3."/>
      <w:lvlJc w:val="left"/>
      <w:pPr>
        <w:tabs>
          <w:tab w:val="left" w:leader="none" w:pos="2160"/>
        </w:tabs>
        <w:ind w:left="2160" w:firstLine="65176"/>
      </w:pPr>
    </w:lvl>
    <w:lvl w:ilvl="3">
      <w:start w:val="1"/>
      <w:numFmt w:val="decimal"/>
      <w:lvlText w:val="%4."/>
      <w:lvlJc w:val="left"/>
      <w:pPr>
        <w:tabs>
          <w:tab w:val="left" w:leader="none" w:pos="2880"/>
        </w:tabs>
        <w:ind w:left="2880" w:firstLine="65176"/>
      </w:pPr>
    </w:lvl>
    <w:lvl w:ilvl="4">
      <w:start w:val="1"/>
      <w:numFmt w:val="decimal"/>
      <w:lvlText w:val="%5."/>
      <w:lvlJc w:val="left"/>
      <w:pPr>
        <w:tabs>
          <w:tab w:val="left" w:leader="none" w:pos="3600"/>
        </w:tabs>
        <w:ind w:left="3600" w:firstLine="65176"/>
      </w:pPr>
    </w:lvl>
    <w:lvl w:ilvl="5">
      <w:start w:val="1"/>
      <w:numFmt w:val="decimal"/>
      <w:lvlText w:val="%6."/>
      <w:lvlJc w:val="left"/>
      <w:pPr>
        <w:tabs>
          <w:tab w:val="left" w:leader="none" w:pos="4320"/>
        </w:tabs>
        <w:ind w:left="4320" w:firstLine="65176"/>
      </w:pPr>
    </w:lvl>
    <w:lvl w:ilvl="6">
      <w:start w:val="1"/>
      <w:numFmt w:val="decimal"/>
      <w:lvlText w:val="%7."/>
      <w:lvlJc w:val="left"/>
      <w:pPr>
        <w:tabs>
          <w:tab w:val="left" w:leader="none" w:pos="5040"/>
        </w:tabs>
        <w:ind w:left="5040" w:firstLine="65176"/>
      </w:pPr>
    </w:lvl>
    <w:lvl w:ilvl="7">
      <w:start w:val="1"/>
      <w:numFmt w:val="decimal"/>
      <w:lvlText w:val="%8."/>
      <w:lvlJc w:val="left"/>
      <w:pPr>
        <w:tabs>
          <w:tab w:val="left" w:leader="none" w:pos="5760"/>
        </w:tabs>
        <w:ind w:left="5760" w:firstLine="65176"/>
      </w:pPr>
    </w:lvl>
    <w:lvl w:ilvl="8">
      <w:start w:val="1"/>
      <w:numFmt w:val="decimal"/>
      <w:lvlText w:val="%9."/>
      <w:lvlJc w:val="left"/>
      <w:pPr>
        <w:tabs>
          <w:tab w:val="left" w:leader="none" w:pos="6480"/>
        </w:tabs>
        <w:ind w:left="6480" w:firstLine="65176"/>
      </w:pPr>
    </w:lvl>
  </w:abstractNum>
  <w:abstractNum w:abstractNumId="21">
    <w:nsid w:val="00000015"/>
    <w:multiLevelType w:val="multilevel"/>
    <w:tmpl w:val="67656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21"/>
  </w:num>
  <w:num w:numId="5">
    <w:abstractNumId w:val="15"/>
  </w:num>
  <w:num w:numId="6">
    <w:abstractNumId w:val="3"/>
  </w:num>
  <w:num w:numId="7">
    <w:abstractNumId w:val="20"/>
  </w:num>
  <w:num w:numId="8">
    <w:abstractNumId w:val="9"/>
  </w:num>
  <w:num w:numId="9">
    <w:abstractNumId w:val="10"/>
  </w:num>
  <w:num w:numId="10">
    <w:abstractNumId w:val="19"/>
  </w:num>
  <w:num w:numId="11">
    <w:abstractNumId w:val="17"/>
  </w:num>
  <w:num w:numId="12">
    <w:abstractNumId w:val="18"/>
  </w:num>
  <w:num w:numId="13">
    <w:abstractNumId w:val="0"/>
  </w:num>
  <w:num w:numId="14">
    <w:abstractNumId w:val="12"/>
  </w:num>
  <w:num w:numId="15">
    <w:abstractNumId w:val="6"/>
  </w:num>
  <w:num w:numId="16">
    <w:abstractNumId w:val="4"/>
  </w:num>
  <w:num w:numId="17">
    <w:abstractNumId w:val="5"/>
  </w:num>
  <w:num w:numId="18">
    <w:abstractNumId w:val="8"/>
  </w:num>
  <w:num w:numId="19">
    <w:abstractNumId w:val="2"/>
  </w:num>
  <w:num w:numId="20">
    <w:abstractNumId w:val="1"/>
  </w:num>
  <w:num w:numId="21">
    <w:abstractNumId w:val="13"/>
  </w:num>
  <w:num w:numId="22">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characterSpacingControl w:val="doNotCompress"/>
  <w:compat>
    <w:doNotExpandShiftReturn/>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rPr>
    </w:rPrDefault>
    <w:pPrDefault>
      <w:pPr/>
    </w:pPrDefault>
  </w:docDefaults>
  <w:style w:type="paragraph" w:default="1" w:styleId="style0">
    <w:name w:val="Normal"/>
    <w:next w:val="style0"/>
    <w:qFormat/>
    <w:uiPriority w:val="0"/>
    <w:pPr>
      <w:spacing w:before="200" w:lineRule="auto" w:line="276"/>
    </w:pPr>
    <w:rPr>
      <w:rFonts w:ascii="Source Sans Pro" w:cs="Source Sans Pro" w:eastAsia="Source Sans Pro" w:hAnsi="Source Sans Pro"/>
      <w:color w:val="666666"/>
      <w:sz w:val="22"/>
      <w:szCs w:val="22"/>
      <w:lang w:val="en-US" w:bidi="ar-SA" w:eastAsia="en-US"/>
    </w:rPr>
  </w:style>
  <w:style w:type="paragraph" w:styleId="style1">
    <w:name w:val="heading 1"/>
    <w:basedOn w:val="style4097"/>
    <w:next w:val="style4097"/>
    <w:uiPriority w:val="0"/>
    <w:pPr>
      <w:keepNext/>
      <w:keepLines/>
      <w:spacing w:before="320" w:lineRule="auto" w:line="240"/>
      <w:ind w:left="-15" w:right="-15"/>
      <w:outlineLvl w:val="0"/>
    </w:pPr>
    <w:rPr>
      <w:rFonts w:ascii="Yanone Kaffeesatz" w:cs="Yanone Kaffeesatz" w:eastAsia="Yanone Kaffeesatz" w:hAnsi="Yanone Kaffeesatz"/>
      <w:color w:val="434343"/>
      <w:sz w:val="84"/>
      <w:szCs w:val="84"/>
    </w:rPr>
  </w:style>
  <w:style w:type="paragraph" w:styleId="style2">
    <w:name w:val="heading 2"/>
    <w:basedOn w:val="style4097"/>
    <w:next w:val="style4097"/>
    <w:uiPriority w:val="0"/>
    <w:pPr>
      <w:spacing w:before="480"/>
      <w:outlineLvl w:val="1"/>
    </w:pPr>
    <w:rPr>
      <w:b/>
      <w:color w:val="434343"/>
      <w:sz w:val="32"/>
      <w:szCs w:val="32"/>
    </w:rPr>
  </w:style>
  <w:style w:type="paragraph" w:styleId="style3">
    <w:name w:val="heading 3"/>
    <w:basedOn w:val="style4097"/>
    <w:next w:val="style4097"/>
    <w:uiPriority w:val="0"/>
    <w:pPr>
      <w:widowControl w:val="false"/>
      <w:spacing w:lineRule="auto" w:line="240"/>
      <w:outlineLvl w:val="2"/>
    </w:pPr>
    <w:rPr>
      <w:color w:val="b7b7b7"/>
      <w:sz w:val="20"/>
      <w:szCs w:val="20"/>
    </w:rPr>
  </w:style>
  <w:style w:type="paragraph" w:styleId="style4">
    <w:name w:val="heading 4"/>
    <w:basedOn w:val="style4097"/>
    <w:next w:val="style4097"/>
    <w:uiPriority w:val="0"/>
    <w:pPr>
      <w:keepNext/>
      <w:keepLines/>
      <w:spacing w:lineRule="auto" w:line="240"/>
      <w:ind w:left="-15" w:right="-15"/>
      <w:outlineLvl w:val="3"/>
    </w:pPr>
    <w:rPr>
      <w:color w:val="ec7b00"/>
    </w:rPr>
  </w:style>
  <w:style w:type="paragraph" w:styleId="style5">
    <w:name w:val="heading 5"/>
    <w:basedOn w:val="style4097"/>
    <w:next w:val="style4097"/>
    <w:uiPriority w:val="0"/>
    <w:pPr>
      <w:keepNext/>
      <w:keepLines/>
      <w:spacing w:before="160"/>
      <w:outlineLvl w:val="4"/>
    </w:pPr>
    <w:rPr>
      <w:rFonts w:ascii="Trebuchet MS" w:cs="Trebuchet MS" w:eastAsia="Trebuchet MS" w:hAnsi="Trebuchet MS"/>
    </w:rPr>
  </w:style>
  <w:style w:type="paragraph" w:styleId="style6">
    <w:name w:val="heading 6"/>
    <w:basedOn w:val="style4097"/>
    <w:next w:val="style4097"/>
    <w:uiPriority w:val="0"/>
    <w:pPr>
      <w:keepNext/>
      <w:keepLines/>
      <w:spacing w:before="160"/>
      <w:outlineLvl w:val="5"/>
    </w:pPr>
    <w:rPr>
      <w:rFonts w:ascii="Trebuchet MS" w:cs="Trebuchet MS" w:eastAsia="Trebuchet MS" w:hAnsi="Trebuchet MS"/>
      <w:i/>
    </w:rPr>
  </w:style>
  <w:style w:type="character" w:default="1" w:styleId="style65">
    <w:name w:val="Default Paragraph Font"/>
    <w:next w:val="style65"/>
    <w:uiPriority w:val="1"/>
  </w:style>
  <w:style w:type="table" w:default="1" w:styleId="style105">
    <w:name w:val="Normal Table"/>
    <w:next w:val="style105"/>
    <w:qFormat/>
    <w:uiPriority w:val="99"/>
    <w:pPr>
      <w:keepNext w:val="false"/>
      <w:keepLines w:val="false"/>
      <w:widowControl/>
      <w:suppressLineNumbers w:val="false"/>
      <w:spacing w:before="0" w:beforeAutospacing="false" w:after="200" w:afterAutospacing="false" w:lineRule="auto" w:line="276"/>
      <w:ind w:left="0" w:right="0"/>
    </w:pPr>
    <w:rPr>
      <w:rFonts w:ascii="Calibri" w:cs="Times New Roman" w:hAnsi="Calibri" w:hint="eastAsia"/>
      <w:sz w:val="22"/>
      <w:szCs w:val="22"/>
    </w:rPr>
    <w:tblPr>
      <w:tblCellMar>
        <w:top w:w="0" w:type="dxa"/>
        <w:left w:w="108" w:type="dxa"/>
        <w:bottom w:w="0" w:type="dxa"/>
        <w:right w:w="108" w:type="dxa"/>
      </w:tblCellMar>
    </w:tblPr>
    <w:tcPr>
      <w:tcBorders/>
    </w:tcPr>
  </w:style>
  <w:style w:type="paragraph" w:customStyle="1" w:styleId="style4097">
    <w:name w:val="normal1"/>
    <w:next w:val="style4097"/>
    <w:qFormat/>
    <w:uiPriority w:val="0"/>
    <w:pPr>
      <w:spacing w:before="200" w:lineRule="auto" w:line="276"/>
    </w:pPr>
    <w:rPr>
      <w:rFonts w:ascii="Source Sans Pro" w:cs="Source Sans Pro" w:eastAsia="Source Sans Pro" w:hAnsi="Source Sans Pro"/>
      <w:color w:val="666666"/>
      <w:sz w:val="22"/>
      <w:szCs w:val="22"/>
      <w:lang w:val="en-US" w:bidi="ar-SA" w:eastAsia="en-US"/>
    </w:rPr>
  </w:style>
  <w:style w:type="paragraph" w:styleId="style153">
    <w:name w:val="Balloon Text"/>
    <w:basedOn w:val="style0"/>
    <w:next w:val="style153"/>
    <w:link w:val="style4101"/>
    <w:qFormat/>
    <w:uiPriority w:val="99"/>
    <w:pPr>
      <w:spacing w:before="0" w:lineRule="auto" w:line="240"/>
    </w:pPr>
    <w:rPr>
      <w:rFonts w:ascii="Tahoma" w:cs="Tahoma" w:hAnsi="Tahoma"/>
      <w:sz w:val="16"/>
      <w:szCs w:val="16"/>
    </w:rPr>
  </w:style>
  <w:style w:type="paragraph" w:styleId="style32">
    <w:name w:val="footer"/>
    <w:basedOn w:val="style0"/>
    <w:next w:val="style32"/>
    <w:link w:val="style4108"/>
    <w:qFormat/>
    <w:uiPriority w:val="99"/>
    <w:pPr>
      <w:tabs>
        <w:tab w:val="center" w:leader="none" w:pos="4680"/>
        <w:tab w:val="right" w:leader="none" w:pos="9360"/>
      </w:tabs>
      <w:spacing w:before="0" w:lineRule="auto" w:line="240"/>
    </w:pPr>
    <w:rPr/>
  </w:style>
  <w:style w:type="paragraph" w:styleId="style31">
    <w:name w:val="header"/>
    <w:basedOn w:val="style0"/>
    <w:next w:val="style31"/>
    <w:link w:val="style4107"/>
    <w:qFormat/>
    <w:uiPriority w:val="99"/>
    <w:pPr>
      <w:tabs>
        <w:tab w:val="center" w:leader="none" w:pos="4680"/>
        <w:tab w:val="right" w:leader="none" w:pos="9360"/>
      </w:tabs>
      <w:spacing w:before="0" w:lineRule="auto" w:line="240"/>
    </w:pPr>
    <w:rPr/>
  </w:style>
  <w:style w:type="character" w:styleId="style87">
    <w:name w:val="Strong"/>
    <w:basedOn w:val="style65"/>
    <w:next w:val="style87"/>
    <w:qFormat/>
    <w:uiPriority w:val="22"/>
    <w:rPr>
      <w:b/>
      <w:bCs/>
    </w:rPr>
  </w:style>
  <w:style w:type="paragraph" w:styleId="style74">
    <w:name w:val="Subtitle"/>
    <w:basedOn w:val="style0"/>
    <w:next w:val="style0"/>
    <w:link w:val="style4106"/>
    <w:qFormat/>
    <w:uiPriority w:val="0"/>
    <w:pPr>
      <w:keepNext/>
      <w:keepLines/>
      <w:spacing w:lineRule="auto" w:line="240"/>
      <w:ind w:left="-15" w:right="-15"/>
    </w:pPr>
    <w:rPr>
      <w:color w:val="ec7b00"/>
    </w:rPr>
  </w:style>
  <w:style w:type="table" w:styleId="style154">
    <w:name w:val="Table Grid"/>
    <w:next w:val="style154"/>
    <w:uiPriority w:val="59"/>
    <w:pPr>
      <w:keepNext w:val="false"/>
      <w:keepLines w:val="false"/>
      <w:widowControl/>
      <w:suppressLineNumbers w:val="false"/>
      <w:spacing w:before="0" w:beforeAutospacing="false" w:after="0" w:afterAutospacing="false"/>
      <w:ind w:left="0" w:right="0"/>
    </w:pPr>
    <w:rPr>
      <w:rFonts w:ascii="Calibri" w:cs="Times New Roman" w:hAnsi="Calibri" w:hint="eastAs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62">
    <w:name w:val="Title"/>
    <w:basedOn w:val="style4097"/>
    <w:next w:val="style4097"/>
    <w:qFormat/>
    <w:uiPriority w:val="0"/>
    <w:pPr>
      <w:spacing w:before="0" w:lineRule="auto" w:line="240"/>
      <w:ind w:left="-15" w:right="-15"/>
    </w:pPr>
    <w:rPr>
      <w:rFonts w:ascii="Yanone Kaffeesatz" w:cs="Yanone Kaffeesatz" w:eastAsia="Yanone Kaffeesatz" w:hAnsi="Yanone Kaffeesatz"/>
      <w:color w:val="5e2b97"/>
      <w:sz w:val="72"/>
      <w:szCs w:val="72"/>
    </w:rPr>
  </w:style>
  <w:style w:type="table" w:styleId="style234">
    <w:name w:val="Light Grid Accent 5"/>
    <w:next w:val="style234"/>
    <w:uiPriority w:val="62"/>
    <w:pPr>
      <w:keepNext w:val="false"/>
      <w:keepLines w:val="false"/>
      <w:widowControl/>
      <w:suppressLineNumbers w:val="false"/>
      <w:spacing w:before="0" w:beforeAutospacing="false" w:after="0" w:afterAutospacing="false"/>
      <w:ind w:left="0" w:right="0"/>
    </w:pPr>
    <w:rPr>
      <w:rFonts w:ascii="Calibri" w:cs="Times New Roman" w:hAnsi="Calibri" w:hint="eastAs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beforeAutospacing="false" w:after="0" w:afterAutospacing="false" w:lineRule="auto" w:line="240"/>
      </w:pPr>
      <w:rPr>
        <w:rFonts w:ascii="Cambria" w:cs="Times New Roman" w:eastAsia="Times New Roman" w:hAnsi="Cambria"/>
        <w:b/>
        <w:bCs/>
      </w:rPr>
      <w:tblPr/>
      <w:tcPr>
        <w:tcBorders>
          <w:top w:val="single" w:sz="8" w:space="0" w:color="4bacc6"/>
          <w:left w:val="single" w:sz="8" w:space="0" w:color="4bacc6"/>
          <w:bottom w:val="single" w:sz="18" w:space="0" w:color="4bacc6"/>
          <w:right w:val="single" w:sz="8" w:space="0" w:color="4bacc6"/>
        </w:tcBorders>
      </w:tcPr>
    </w:tblStylePr>
    <w:tblStylePr w:type="lastRow">
      <w:pPr>
        <w:spacing w:before="0" w:beforeAutospacing="false" w:after="0" w:afterAutospacing="false" w:lineRule="auto" w:line="240"/>
      </w:pPr>
      <w:rPr>
        <w:rFonts w:ascii="Cambria" w:cs="Times New Roman" w:eastAsia="Times New Roman" w:hAnsi="Cambria"/>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tcBorders>
      </w:tcPr>
    </w:tblStylePr>
    <w:tblStylePr w:type="firstCol">
      <w:pPr/>
      <w:rPr>
        <w:rFonts w:ascii="Cambria" w:cs="Times New Roman" w:eastAsia="Times New Roman" w:hAnsi="Cambria"/>
        <w:b/>
        <w:bCs/>
      </w:rPr>
      <w:tblPr/>
      <w:tcPr>
        <w:tcBorders/>
      </w:tcPr>
    </w:tblStylePr>
    <w:tblStylePr w:type="lastCol">
      <w:pPr/>
      <w:rPr>
        <w:rFonts w:ascii="Cambria" w:cs="Times New Roman" w:eastAsia="Times New Roman" w:hAnsi="Cambria"/>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paragraph" w:customStyle="1" w:styleId="style4098">
    <w:name w:val="normal"/>
    <w:next w:val="style4098"/>
    <w:qFormat/>
    <w:uiPriority w:val="0"/>
    <w:pPr>
      <w:spacing w:before="200" w:lineRule="auto" w:line="276"/>
    </w:pPr>
    <w:rPr>
      <w:rFonts w:ascii="Source Sans Pro" w:cs="Source Sans Pro" w:eastAsia="Source Sans Pro" w:hAnsi="Source Sans Pro"/>
      <w:color w:val="666666"/>
      <w:sz w:val="22"/>
      <w:szCs w:val="22"/>
      <w:lang w:val="en-US" w:bidi="ar-SA" w:eastAsia="en-US"/>
    </w:rPr>
  </w:style>
  <w:style w:type="table" w:customStyle="1" w:styleId="style4099">
    <w:name w:val="_Style 13"/>
    <w:basedOn w:val="style105"/>
    <w:next w:val="style4099"/>
    <w:qFormat/>
    <w:uiPriority w:val="0"/>
    <w:pPr/>
    <w:rPr/>
    <w:tblPr>
      <w:tblCellMar>
        <w:top w:w="100" w:type="dxa"/>
        <w:left w:w="100" w:type="dxa"/>
        <w:bottom w:w="100" w:type="dxa"/>
        <w:right w:w="100" w:type="dxa"/>
      </w:tblCellMar>
    </w:tblPr>
    <w:tcPr>
      <w:tcBorders/>
    </w:tcPr>
  </w:style>
  <w:style w:type="table" w:customStyle="1" w:styleId="style4100">
    <w:name w:val="_Style 14"/>
    <w:basedOn w:val="style105"/>
    <w:next w:val="style4100"/>
    <w:qFormat/>
    <w:uiPriority w:val="0"/>
    <w:pPr/>
    <w:rPr/>
    <w:tblPr>
      <w:tblCellMar>
        <w:top w:w="100" w:type="dxa"/>
        <w:left w:w="100" w:type="dxa"/>
        <w:bottom w:w="100" w:type="dxa"/>
        <w:right w:w="100" w:type="dxa"/>
      </w:tblCellMar>
    </w:tblPr>
    <w:tcPr>
      <w:tcBorders/>
    </w:tcPr>
  </w:style>
  <w:style w:type="character" w:customStyle="1" w:styleId="style4101">
    <w:name w:val="Balloon Text Char"/>
    <w:basedOn w:val="style65"/>
    <w:next w:val="style4101"/>
    <w:link w:val="style153"/>
    <w:qFormat/>
    <w:uiPriority w:val="99"/>
    <w:rPr>
      <w:rFonts w:ascii="Tahoma" w:cs="Tahoma" w:hAnsi="Tahoma"/>
      <w:sz w:val="16"/>
      <w:szCs w:val="16"/>
    </w:rPr>
  </w:style>
  <w:style w:type="character" w:customStyle="1" w:styleId="style4102">
    <w:name w:val="uv3um"/>
    <w:basedOn w:val="style65"/>
    <w:next w:val="style4102"/>
    <w:qFormat/>
    <w:uiPriority w:val="0"/>
  </w:style>
  <w:style w:type="table" w:customStyle="1" w:styleId="style4103">
    <w:name w:val="_Style 18"/>
    <w:basedOn w:val="style105"/>
    <w:next w:val="style4103"/>
    <w:qFormat/>
    <w:uiPriority w:val="0"/>
    <w:pPr/>
    <w:rPr/>
    <w:tblPr>
      <w:tblCellMar>
        <w:top w:w="100" w:type="dxa"/>
        <w:left w:w="100" w:type="dxa"/>
        <w:bottom w:w="100" w:type="dxa"/>
        <w:right w:w="100" w:type="dxa"/>
      </w:tblCellMar>
    </w:tblPr>
    <w:tcPr>
      <w:tcBorders/>
    </w:tcPr>
  </w:style>
  <w:style w:type="table" w:customStyle="1" w:styleId="style4104">
    <w:name w:val="_Style 19"/>
    <w:basedOn w:val="style105"/>
    <w:next w:val="style4104"/>
    <w:qFormat/>
    <w:uiPriority w:val="0"/>
    <w:pPr/>
    <w:rPr/>
    <w:tblPr>
      <w:tblCellMar>
        <w:top w:w="100" w:type="dxa"/>
        <w:left w:w="100" w:type="dxa"/>
        <w:bottom w:w="100" w:type="dxa"/>
        <w:right w:w="100" w:type="dxa"/>
      </w:tblCellMar>
    </w:tblPr>
    <w:tcPr>
      <w:tcBorders/>
    </w:tcPr>
  </w:style>
  <w:style w:type="paragraph" w:customStyle="1" w:styleId="style4105">
    <w:name w:val="paragraph"/>
    <w:basedOn w:val="style0"/>
    <w:next w:val="style4105"/>
    <w:qFormat/>
    <w:uiPriority w:val="0"/>
    <w:pPr>
      <w:spacing w:before="100" w:beforeAutospacing="true" w:after="100" w:afterAutospacing="true" w:lineRule="auto" w:line="240"/>
    </w:pPr>
    <w:rPr>
      <w:rFonts w:ascii="Times New Roman" w:cs="Times New Roman" w:eastAsia="Times New Roman" w:hAnsi="Times New Roman"/>
      <w:color w:val="auto"/>
      <w:sz w:val="24"/>
      <w:szCs w:val="24"/>
    </w:rPr>
  </w:style>
  <w:style w:type="paragraph" w:styleId="style179">
    <w:name w:val="List Paragraph"/>
    <w:basedOn w:val="style0"/>
    <w:next w:val="style179"/>
    <w:qFormat/>
    <w:uiPriority w:val="34"/>
    <w:pPr>
      <w:ind w:left="720"/>
      <w:contextualSpacing/>
    </w:pPr>
    <w:rPr/>
  </w:style>
  <w:style w:type="character" w:customStyle="1" w:styleId="style4106">
    <w:name w:val="Subtitle Char"/>
    <w:basedOn w:val="style65"/>
    <w:next w:val="style4106"/>
    <w:link w:val="style74"/>
    <w:qFormat/>
    <w:uiPriority w:val="0"/>
    <w:rPr>
      <w:color w:val="ec7b00"/>
    </w:rPr>
  </w:style>
  <w:style w:type="character" w:customStyle="1" w:styleId="style4107">
    <w:name w:val="Header Char_8de57455-28af-4912-aa9c-725e31fa8f0d"/>
    <w:basedOn w:val="style65"/>
    <w:next w:val="style4107"/>
    <w:link w:val="style31"/>
    <w:qFormat/>
    <w:uiPriority w:val="99"/>
  </w:style>
  <w:style w:type="character" w:customStyle="1" w:styleId="style4108">
    <w:name w:val="Footer Char_c46eb47d-0508-44fb-b11b-74ce8a428340"/>
    <w:basedOn w:val="style65"/>
    <w:next w:val="style4108"/>
    <w:link w:val="style32"/>
    <w:qFormat/>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11" Type="http://schemas.openxmlformats.org/officeDocument/2006/relationships/customXml" Target="../customXml/item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UEpZWVpRtn3dxUe9W285a89xw==">CgMxLjAyCGguZ2pkZ3hzMgloLjMwajB6bGwyCWguMWZvYjl0ZTIOaC5zYWgzZ3Y2b3VmM20yCWguM3pueXNoNzIOaC4yYWoyMjRjMm92MWIyDmguNGx1MmhxN2g2em5kMg5oLnA5Z3E5cmR4ZHVjZzgAciExeVNxNTU3cFhxbnJwb19aVG1QUXBPZDNNYTFwRmtLYTQ=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BA65DAA5-37AA-42E1-A5E6-59B8A171FD63}">
  <ds:schemaRefs/>
</ds:datastoreItem>
</file>

<file path=docProps/app.xml><?xml version="1.0" encoding="utf-8"?>
<Properties xmlns="http://schemas.openxmlformats.org/officeDocument/2006/extended-properties" xmlns:vt="http://schemas.openxmlformats.org/officeDocument/2006/docPropsVTypes">
  <Template>Normal</Template>
  <TotalTime>7</TotalTime>
  <Words>2129</Words>
  <Pages>10</Pages>
  <Characters>13656</Characters>
  <Application>WPS Office</Application>
  <DocSecurity>0</DocSecurity>
  <Paragraphs>249</Paragraphs>
  <ScaleCrop>false</ScaleCrop>
  <LinksUpToDate>false</LinksUpToDate>
  <CharactersWithSpaces>15620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2025-07-30T06:28:00Z</dcterms:created>
  <dc:creator>Administrator</dc:creator>
  <lastModifiedBy>CPH2613</lastModifiedBy>
  <dcterms:modified xsi:type="dcterms:W3CDTF">2025-09-12T03:57:05Z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85318495d5b04d86a516cb1a55218581</vt:lpwstr>
  </property>
</Properties>
</file>